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03688">
      <w:pPr>
        <w:adjustRightInd w:val="0"/>
        <w:rPr>
          <w:rFonts w:hint="default" w:ascii="Times New Roman" w:hAnsi="Times New Roman" w:eastAsia="宋体" w:cs="Times New Roman"/>
          <w:color w:val="auto"/>
          <w:sz w:val="36"/>
          <w:szCs w:val="36"/>
          <w:highlight w:val="none"/>
        </w:rPr>
      </w:pPr>
      <w:bookmarkStart w:id="0" w:name="_Hlk57883707"/>
      <w:bookmarkStart w:id="1" w:name="_Hlk93929507"/>
      <w:bookmarkStart w:id="2" w:name="char1"/>
    </w:p>
    <w:bookmarkEnd w:id="0"/>
    <w:p w14:paraId="425E1982">
      <w:pPr>
        <w:adjustRightInd w:val="0"/>
        <w:jc w:val="center"/>
        <w:rPr>
          <w:rFonts w:hint="default" w:ascii="Times New Roman" w:hAnsi="Times New Roman" w:eastAsia="宋体" w:cs="Times New Roman"/>
          <w:bCs/>
          <w:color w:val="auto"/>
          <w:sz w:val="72"/>
          <w:szCs w:val="72"/>
          <w:highlight w:val="none"/>
        </w:rPr>
      </w:pPr>
    </w:p>
    <w:p w14:paraId="07997753">
      <w:pPr>
        <w:adjustRightInd w:val="0"/>
        <w:jc w:val="center"/>
        <w:outlineLvl w:val="0"/>
        <w:rPr>
          <w:rFonts w:hint="default" w:ascii="Times New Roman" w:hAnsi="Times New Roman" w:eastAsia="宋体" w:cs="Times New Roman"/>
          <w:bCs/>
          <w:color w:val="auto"/>
          <w:sz w:val="72"/>
          <w:szCs w:val="72"/>
          <w:highlight w:val="none"/>
        </w:rPr>
      </w:pPr>
      <w:bookmarkStart w:id="3" w:name="_Toc19675"/>
      <w:r>
        <w:rPr>
          <w:rFonts w:hint="default" w:ascii="Times New Roman" w:hAnsi="Times New Roman" w:eastAsia="宋体" w:cs="Times New Roman"/>
          <w:bCs/>
          <w:color w:val="auto"/>
          <w:sz w:val="72"/>
          <w:szCs w:val="72"/>
          <w:highlight w:val="none"/>
        </w:rPr>
        <w:t>建设项目环境影响报告表</w:t>
      </w:r>
      <w:bookmarkEnd w:id="3"/>
    </w:p>
    <w:p w14:paraId="12619BAF">
      <w:pPr>
        <w:adjustRightInd w:val="0"/>
        <w:spacing w:before="268" w:beforeLines="80"/>
        <w:jc w:val="center"/>
        <w:outlineLvl w:val="0"/>
        <w:rPr>
          <w:rFonts w:hint="default" w:ascii="Times New Roman" w:hAnsi="Times New Roman" w:eastAsia="宋体" w:cs="Times New Roman"/>
          <w:bCs/>
          <w:color w:val="auto"/>
          <w:sz w:val="48"/>
          <w:szCs w:val="48"/>
          <w:highlight w:val="none"/>
        </w:rPr>
      </w:pPr>
      <w:bookmarkStart w:id="4" w:name="_Toc794"/>
      <w:bookmarkStart w:id="5" w:name="_Toc5546"/>
      <w:bookmarkStart w:id="6" w:name="_Toc9691"/>
      <w:bookmarkStart w:id="7" w:name="_Toc32097"/>
      <w:bookmarkStart w:id="8" w:name="_Toc11138"/>
      <w:bookmarkStart w:id="9" w:name="_Toc20445"/>
      <w:bookmarkStart w:id="10" w:name="_Toc10929"/>
      <w:bookmarkStart w:id="11" w:name="_Toc7964"/>
      <w:r>
        <w:rPr>
          <w:rFonts w:hint="default" w:ascii="Times New Roman" w:hAnsi="Times New Roman" w:eastAsia="宋体" w:cs="Times New Roman"/>
          <w:bCs/>
          <w:color w:val="auto"/>
          <w:sz w:val="48"/>
          <w:szCs w:val="48"/>
          <w:highlight w:val="none"/>
        </w:rPr>
        <w:t>（生态影响类）</w:t>
      </w:r>
      <w:bookmarkEnd w:id="4"/>
      <w:bookmarkEnd w:id="5"/>
      <w:bookmarkEnd w:id="6"/>
      <w:bookmarkEnd w:id="7"/>
      <w:bookmarkEnd w:id="8"/>
      <w:bookmarkEnd w:id="9"/>
      <w:bookmarkEnd w:id="10"/>
      <w:bookmarkEnd w:id="11"/>
    </w:p>
    <w:p w14:paraId="6AF30EF3">
      <w:pPr>
        <w:adjustRightInd w:val="0"/>
        <w:spacing w:line="288" w:lineRule="auto"/>
        <w:jc w:val="center"/>
        <w:rPr>
          <w:rFonts w:hint="default" w:ascii="Times New Roman" w:hAnsi="Times New Roman" w:eastAsia="宋体" w:cs="Times New Roman"/>
          <w:color w:val="auto"/>
          <w:kern w:val="44"/>
          <w:sz w:val="44"/>
          <w:szCs w:val="44"/>
          <w:highlight w:val="none"/>
        </w:rPr>
      </w:pPr>
      <w:bookmarkStart w:id="12" w:name="_Hlk57883728"/>
    </w:p>
    <w:p w14:paraId="33583C8F">
      <w:pPr>
        <w:adjustRightInd w:val="0"/>
        <w:jc w:val="center"/>
        <w:rPr>
          <w:rFonts w:hint="default" w:ascii="Times New Roman" w:hAnsi="Times New Roman" w:eastAsia="宋体" w:cs="Times New Roman"/>
          <w:color w:val="auto"/>
          <w:sz w:val="52"/>
          <w:szCs w:val="52"/>
          <w:highlight w:val="none"/>
        </w:rPr>
      </w:pPr>
    </w:p>
    <w:p w14:paraId="62CA540A">
      <w:pPr>
        <w:adjustRightInd w:val="0"/>
        <w:jc w:val="center"/>
        <w:rPr>
          <w:rFonts w:hint="default" w:ascii="Times New Roman" w:hAnsi="Times New Roman" w:eastAsia="宋体" w:cs="Times New Roman"/>
          <w:color w:val="auto"/>
          <w:sz w:val="52"/>
          <w:szCs w:val="52"/>
          <w:highlight w:val="none"/>
        </w:rPr>
      </w:pPr>
    </w:p>
    <w:p w14:paraId="252EE1E4">
      <w:pPr>
        <w:adjustRightInd w:val="0"/>
        <w:jc w:val="center"/>
        <w:rPr>
          <w:rFonts w:hint="default" w:ascii="Times New Roman" w:hAnsi="Times New Roman" w:eastAsia="宋体" w:cs="Times New Roman"/>
          <w:color w:val="auto"/>
          <w:sz w:val="52"/>
          <w:szCs w:val="52"/>
          <w:highlight w:val="none"/>
        </w:rPr>
      </w:pPr>
    </w:p>
    <w:p w14:paraId="506477D9">
      <w:pPr>
        <w:adjustRightInd w:val="0"/>
        <w:rPr>
          <w:rFonts w:hint="default" w:ascii="Times New Roman" w:hAnsi="Times New Roman" w:eastAsia="宋体" w:cs="Times New Roman"/>
          <w:color w:val="auto"/>
          <w:sz w:val="44"/>
          <w:szCs w:val="44"/>
          <w:highlight w:val="none"/>
        </w:rPr>
      </w:pPr>
    </w:p>
    <w:p w14:paraId="3D29394C">
      <w:pPr>
        <w:adjustRightInd w:val="0"/>
        <w:ind w:firstLine="1040"/>
        <w:rPr>
          <w:rFonts w:hint="default" w:ascii="Times New Roman" w:hAnsi="Times New Roman" w:eastAsia="宋体" w:cs="Times New Roman"/>
          <w:color w:val="auto"/>
          <w:sz w:val="44"/>
          <w:szCs w:val="44"/>
          <w:highlight w:val="none"/>
        </w:rPr>
      </w:pPr>
    </w:p>
    <w:bookmarkEnd w:id="12"/>
    <w:p w14:paraId="16FDEFEA">
      <w:pPr>
        <w:keepNext w:val="0"/>
        <w:keepLines w:val="0"/>
        <w:pageBreakBefore w:val="0"/>
        <w:widowControl w:val="0"/>
        <w:kinsoku/>
        <w:wordWrap/>
        <w:overflowPunct/>
        <w:topLinePunct w:val="0"/>
        <w:autoSpaceDE/>
        <w:autoSpaceDN/>
        <w:bidi w:val="0"/>
        <w:adjustRightInd w:val="0"/>
        <w:snapToGrid/>
        <w:spacing w:line="288" w:lineRule="auto"/>
        <w:ind w:firstLine="348" w:firstLineChars="100"/>
        <w:jc w:val="left"/>
        <w:textAlignment w:val="auto"/>
        <w:outlineLvl w:val="0"/>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pacing w:val="-6"/>
          <w:sz w:val="36"/>
          <w:szCs w:val="36"/>
          <w:highlight w:val="none"/>
        </w:rPr>
        <w:t>项目名称：</w:t>
      </w:r>
      <w:r>
        <w:rPr>
          <w:rFonts w:hint="default" w:ascii="Times New Roman" w:hAnsi="Times New Roman" w:eastAsia="宋体" w:cs="Times New Roman"/>
          <w:color w:val="auto"/>
          <w:spacing w:val="-6"/>
          <w:sz w:val="36"/>
          <w:szCs w:val="36"/>
          <w:highlight w:val="none"/>
          <w:u w:val="single"/>
          <w:lang w:eastAsia="zh-CN"/>
        </w:rPr>
        <w:t>岩子头生态修复</w:t>
      </w:r>
      <w:r>
        <w:rPr>
          <w:rFonts w:hint="default" w:ascii="Times New Roman" w:hAnsi="Times New Roman" w:eastAsia="宋体" w:cs="Times New Roman"/>
          <w:color w:val="auto"/>
          <w:spacing w:val="-6"/>
          <w:sz w:val="36"/>
          <w:szCs w:val="36"/>
          <w:highlight w:val="none"/>
          <w:u w:val="single"/>
          <w:lang w:val="en-US" w:eastAsia="zh-CN"/>
        </w:rPr>
        <w:t>光</w:t>
      </w:r>
      <w:r>
        <w:rPr>
          <w:rFonts w:hint="default" w:ascii="Times New Roman" w:hAnsi="Times New Roman" w:eastAsia="宋体" w:cs="Times New Roman"/>
          <w:color w:val="auto"/>
          <w:spacing w:val="-6"/>
          <w:sz w:val="36"/>
          <w:szCs w:val="36"/>
          <w:highlight w:val="none"/>
          <w:u w:val="single"/>
          <w:lang w:eastAsia="zh-CN"/>
        </w:rPr>
        <w:t>伏电站</w:t>
      </w:r>
      <w:bookmarkStart w:id="13" w:name="_Toc16425"/>
      <w:r>
        <w:rPr>
          <w:rFonts w:hint="default" w:ascii="Times New Roman" w:hAnsi="Times New Roman" w:eastAsia="宋体" w:cs="Times New Roman"/>
          <w:color w:val="auto"/>
          <w:spacing w:val="-6"/>
          <w:sz w:val="36"/>
          <w:szCs w:val="36"/>
          <w:highlight w:val="none"/>
          <w:u w:val="single"/>
          <w:lang w:eastAsia="zh-CN"/>
        </w:rPr>
        <w:t>220kV升压站</w:t>
      </w:r>
      <w:bookmarkEnd w:id="13"/>
      <w:r>
        <w:rPr>
          <w:rFonts w:hint="default" w:ascii="Times New Roman" w:hAnsi="Times New Roman" w:eastAsia="宋体" w:cs="Times New Roman"/>
          <w:color w:val="auto"/>
          <w:spacing w:val="-6"/>
          <w:sz w:val="36"/>
          <w:szCs w:val="36"/>
          <w:highlight w:val="none"/>
          <w:u w:val="single"/>
          <w:lang w:val="en-US" w:eastAsia="zh-CN"/>
        </w:rPr>
        <w:t xml:space="preserve"> </w:t>
      </w:r>
    </w:p>
    <w:p w14:paraId="27A46F5B">
      <w:pPr>
        <w:keepNext w:val="0"/>
        <w:keepLines w:val="0"/>
        <w:pageBreakBefore w:val="0"/>
        <w:widowControl w:val="0"/>
        <w:kinsoku/>
        <w:wordWrap/>
        <w:overflowPunct/>
        <w:topLinePunct w:val="0"/>
        <w:autoSpaceDE/>
        <w:autoSpaceDN/>
        <w:bidi w:val="0"/>
        <w:adjustRightInd w:val="0"/>
        <w:snapToGrid/>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w:t>
      </w:r>
      <w:r>
        <w:rPr>
          <w:rFonts w:hint="default"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eastAsia="zh-CN"/>
        </w:rPr>
        <w:t>禄劝万佳光伏发电有限公司</w:t>
      </w:r>
      <w:r>
        <w:rPr>
          <w:rFonts w:hint="default" w:ascii="Times New Roman" w:hAnsi="Times New Roman" w:eastAsia="宋体" w:cs="Times New Roman"/>
          <w:color w:val="auto"/>
          <w:sz w:val="36"/>
          <w:szCs w:val="36"/>
          <w:highlight w:val="none"/>
          <w:u w:val="single"/>
          <w:lang w:val="en-US" w:eastAsia="zh-CN"/>
        </w:rPr>
        <w:t xml:space="preserve">      </w:t>
      </w:r>
    </w:p>
    <w:p w14:paraId="7199605E">
      <w:pPr>
        <w:keepNext w:val="0"/>
        <w:keepLines w:val="0"/>
        <w:pageBreakBefore w:val="0"/>
        <w:widowControl w:val="0"/>
        <w:kinsoku/>
        <w:wordWrap/>
        <w:overflowPunct/>
        <w:topLinePunct w:val="0"/>
        <w:autoSpaceDE/>
        <w:autoSpaceDN/>
        <w:bidi w:val="0"/>
        <w:adjustRightInd w:val="0"/>
        <w:snapToGrid/>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color="auto"/>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color="auto"/>
          <w:lang w:val="en-US" w:eastAsia="zh-CN"/>
        </w:rPr>
        <w:t xml:space="preserve">2024年11月           </w:t>
      </w:r>
    </w:p>
    <w:p w14:paraId="65BE1857">
      <w:pPr>
        <w:keepNext w:val="0"/>
        <w:keepLines w:val="0"/>
        <w:pageBreakBefore w:val="0"/>
        <w:widowControl w:val="0"/>
        <w:kinsoku/>
        <w:wordWrap/>
        <w:overflowPunct/>
        <w:topLinePunct w:val="0"/>
        <w:autoSpaceDE/>
        <w:autoSpaceDN/>
        <w:bidi w:val="0"/>
        <w:adjustRightInd w:val="0"/>
        <w:snapToGrid/>
        <w:spacing w:line="288" w:lineRule="auto"/>
        <w:ind w:firstLine="540" w:firstLineChars="150"/>
        <w:jc w:val="left"/>
        <w:textAlignment w:val="auto"/>
        <w:rPr>
          <w:rFonts w:hint="default" w:ascii="Times New Roman" w:hAnsi="Times New Roman" w:eastAsia="宋体" w:cs="Times New Roman"/>
          <w:color w:val="auto"/>
          <w:sz w:val="36"/>
          <w:szCs w:val="36"/>
          <w:highlight w:val="none"/>
          <w:u w:val="single"/>
        </w:rPr>
      </w:pPr>
    </w:p>
    <w:p w14:paraId="2B28E552">
      <w:pPr>
        <w:adjustRightInd w:val="0"/>
        <w:spacing w:line="288" w:lineRule="auto"/>
        <w:ind w:firstLine="1040"/>
        <w:rPr>
          <w:rFonts w:hint="default" w:ascii="Times New Roman" w:hAnsi="Times New Roman" w:eastAsia="宋体" w:cs="Times New Roman"/>
          <w:color w:val="auto"/>
          <w:sz w:val="36"/>
          <w:szCs w:val="36"/>
          <w:highlight w:val="none"/>
          <w:u w:val="single"/>
        </w:rPr>
      </w:pPr>
    </w:p>
    <w:p w14:paraId="4D680904">
      <w:pPr>
        <w:adjustRightInd w:val="0"/>
        <w:spacing w:line="288" w:lineRule="auto"/>
        <w:ind w:firstLine="1040"/>
        <w:rPr>
          <w:rFonts w:hint="default" w:ascii="Times New Roman" w:hAnsi="Times New Roman" w:eastAsia="宋体" w:cs="Times New Roman"/>
          <w:color w:val="auto"/>
          <w:sz w:val="36"/>
          <w:szCs w:val="36"/>
          <w:highlight w:val="none"/>
          <w:u w:val="single"/>
        </w:rPr>
      </w:pPr>
    </w:p>
    <w:p w14:paraId="388DB049">
      <w:pPr>
        <w:adjustRightInd w:val="0"/>
        <w:spacing w:line="288" w:lineRule="auto"/>
        <w:ind w:firstLine="1040"/>
        <w:rPr>
          <w:rFonts w:hint="default" w:ascii="Times New Roman" w:hAnsi="Times New Roman" w:eastAsia="宋体" w:cs="Times New Roman"/>
          <w:color w:val="auto"/>
          <w:sz w:val="36"/>
          <w:szCs w:val="36"/>
          <w:highlight w:val="none"/>
          <w:u w:val="single"/>
        </w:rPr>
      </w:pPr>
    </w:p>
    <w:p w14:paraId="1FC379F7">
      <w:pPr>
        <w:adjustRightInd w:val="0"/>
        <w:spacing w:line="288" w:lineRule="auto"/>
        <w:jc w:val="center"/>
        <w:outlineLvl w:val="0"/>
        <w:rPr>
          <w:rFonts w:hint="default" w:ascii="Times New Roman" w:hAnsi="Times New Roman" w:eastAsia="宋体" w:cs="Times New Roman"/>
          <w:color w:val="auto"/>
          <w:sz w:val="36"/>
          <w:szCs w:val="36"/>
          <w:highlight w:val="none"/>
        </w:rPr>
      </w:pPr>
      <w:bookmarkStart w:id="14" w:name="_Toc20597"/>
      <w:r>
        <w:rPr>
          <w:rFonts w:hint="default" w:ascii="Times New Roman" w:hAnsi="Times New Roman" w:eastAsia="宋体" w:cs="Times New Roman"/>
          <w:color w:val="auto"/>
          <w:sz w:val="36"/>
          <w:szCs w:val="36"/>
          <w:highlight w:val="none"/>
        </w:rPr>
        <w:t>中华人民共和国生态环境部制</w:t>
      </w:r>
      <w:bookmarkEnd w:id="14"/>
    </w:p>
    <w:bookmarkEnd w:id="1"/>
    <w:p w14:paraId="5145319E">
      <w:pPr>
        <w:pStyle w:val="164"/>
        <w:adjustRightInd w:val="0"/>
        <w:spacing w:before="0" w:line="480" w:lineRule="auto"/>
        <w:jc w:val="center"/>
        <w:rPr>
          <w:rFonts w:hint="default" w:ascii="Times New Roman" w:hAnsi="Times New Roman" w:eastAsia="宋体" w:cs="Times New Roman"/>
          <w:b w:val="0"/>
          <w:bCs w:val="0"/>
          <w:color w:val="auto"/>
          <w:kern w:val="2"/>
          <w:sz w:val="44"/>
          <w:szCs w:val="44"/>
          <w:highlight w:val="none"/>
          <w:lang w:val="zh-CN"/>
        </w:rPr>
        <w:sectPr>
          <w:pgSz w:w="11906" w:h="16838"/>
          <w:pgMar w:top="1701" w:right="1531" w:bottom="1701" w:left="1417" w:header="851" w:footer="1077" w:gutter="0"/>
          <w:pgBorders>
            <w:top w:val="none" w:sz="0" w:space="0"/>
            <w:left w:val="none" w:sz="0" w:space="0"/>
            <w:bottom w:val="none" w:sz="0" w:space="0"/>
            <w:right w:val="none" w:sz="0" w:space="0"/>
          </w:pgBorders>
          <w:pgNumType w:fmt="upperRoman"/>
          <w:cols w:space="720" w:num="1"/>
          <w:docGrid w:type="lines" w:linePitch="335" w:charSpace="0"/>
        </w:sectPr>
      </w:pPr>
    </w:p>
    <w:sdt>
      <w:sdtPr>
        <w:rPr>
          <w:rFonts w:hint="default" w:ascii="Times New Roman" w:hAnsi="Times New Roman" w:eastAsia="宋体" w:cs="Times New Roman"/>
          <w:b w:val="0"/>
          <w:bCs w:val="0"/>
          <w:color w:val="auto"/>
          <w:kern w:val="2"/>
          <w:sz w:val="44"/>
          <w:szCs w:val="44"/>
          <w:highlight w:val="none"/>
          <w:lang w:val="zh-CN"/>
        </w:rPr>
        <w:id w:val="147466566"/>
      </w:sdtPr>
      <w:sdtEndPr>
        <w:rPr>
          <w:rFonts w:hint="default" w:ascii="Times New Roman" w:hAnsi="Times New Roman" w:eastAsia="宋体" w:cs="Times New Roman"/>
          <w:b/>
          <w:bCs/>
          <w:color w:val="auto"/>
          <w:kern w:val="2"/>
          <w:sz w:val="24"/>
          <w:szCs w:val="32"/>
          <w:highlight w:val="none"/>
          <w:lang w:val="zh-CN"/>
        </w:rPr>
      </w:sdtEndPr>
      <w:sdtContent>
        <w:p w14:paraId="2F7DDDDD">
          <w:pPr>
            <w:pStyle w:val="164"/>
            <w:adjustRightInd w:val="0"/>
            <w:spacing w:before="0" w:line="480" w:lineRule="auto"/>
            <w:jc w:val="center"/>
            <w:rPr>
              <w:rFonts w:hint="default" w:ascii="Times New Roman" w:hAnsi="Times New Roman" w:eastAsia="宋体" w:cs="Times New Roman"/>
              <w:color w:val="auto"/>
              <w:sz w:val="44"/>
              <w:szCs w:val="44"/>
              <w:highlight w:val="none"/>
            </w:rPr>
          </w:pPr>
          <w:r>
            <w:rPr>
              <w:rFonts w:hint="default" w:ascii="Times New Roman" w:hAnsi="Times New Roman" w:eastAsia="宋体" w:cs="Times New Roman"/>
              <w:color w:val="auto"/>
              <w:sz w:val="44"/>
              <w:szCs w:val="44"/>
              <w:highlight w:val="none"/>
              <w:lang w:val="zh-CN"/>
            </w:rPr>
            <w:t>目录</w:t>
          </w:r>
        </w:p>
        <w:p w14:paraId="4313BF60">
          <w:pPr>
            <w:pStyle w:val="37"/>
            <w:tabs>
              <w:tab w:val="right" w:leader="dot" w:pos="8834"/>
            </w:tabs>
            <w:adjustRightInd w:val="0"/>
            <w:spacing w:line="48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4"/>
              <w:szCs w:val="32"/>
              <w:highlight w:val="none"/>
            </w:rPr>
            <w:fldChar w:fldCharType="begin"/>
          </w:r>
          <w:r>
            <w:rPr>
              <w:rFonts w:hint="default" w:ascii="Times New Roman" w:hAnsi="Times New Roman" w:eastAsia="宋体" w:cs="Times New Roman"/>
              <w:b/>
              <w:bCs/>
              <w:color w:val="auto"/>
              <w:sz w:val="24"/>
              <w:szCs w:val="32"/>
              <w:highlight w:val="none"/>
            </w:rPr>
            <w:instrText xml:space="preserve"> TOC \o "1-3" \h \z \u \b char1</w:instrText>
          </w:r>
          <w:r>
            <w:rPr>
              <w:rFonts w:hint="default" w:ascii="Times New Roman" w:hAnsi="Times New Roman" w:eastAsia="宋体" w:cs="Times New Roman"/>
              <w:b/>
              <w:bCs/>
              <w:color w:val="auto"/>
              <w:sz w:val="24"/>
              <w:szCs w:val="32"/>
              <w:highlight w:val="none"/>
            </w:rPr>
            <w:fldChar w:fldCharType="separate"/>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"_Toc88128707"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一、建设项目基本情况</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_Toc88128707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- 1 -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14E1F7E8">
          <w:pPr>
            <w:pStyle w:val="37"/>
            <w:tabs>
              <w:tab w:val="right" w:leader="dot" w:pos="8834"/>
            </w:tabs>
            <w:adjustRightInd w:val="0"/>
            <w:spacing w:line="48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"_Toc88128708"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二、建设内容</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_Toc88128708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- 27 -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5164FADD">
          <w:pPr>
            <w:pStyle w:val="37"/>
            <w:tabs>
              <w:tab w:val="right" w:leader="dot" w:pos="8834"/>
            </w:tabs>
            <w:adjustRightInd w:val="0"/>
            <w:spacing w:line="48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"_Toc88128709"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三、生态环境现状、保护目标及评价标准</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_Toc88128709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- 36 -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7EFA6119">
          <w:pPr>
            <w:pStyle w:val="37"/>
            <w:tabs>
              <w:tab w:val="right" w:leader="dot" w:pos="8834"/>
            </w:tabs>
            <w:adjustRightInd w:val="0"/>
            <w:spacing w:line="48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"_Toc88128710"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四、生态环境影响分析</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_Toc88128710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- 56 -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3A233765">
          <w:pPr>
            <w:pStyle w:val="37"/>
            <w:tabs>
              <w:tab w:val="right" w:leader="dot" w:pos="8834"/>
            </w:tabs>
            <w:adjustRightInd w:val="0"/>
            <w:spacing w:line="48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"_Toc88128711"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五、主要生态环境保护措施</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_Toc88128711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- 69 -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65704964">
          <w:pPr>
            <w:pStyle w:val="37"/>
            <w:tabs>
              <w:tab w:val="right" w:leader="dot" w:pos="8834"/>
            </w:tabs>
            <w:adjustRightInd w:val="0"/>
            <w:spacing w:line="48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"_Toc88128712"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六、生态环境保护措施监督检查清单</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_Toc88128712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- 74 -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6A136309">
          <w:pPr>
            <w:pStyle w:val="37"/>
            <w:tabs>
              <w:tab w:val="right" w:leader="dot" w:pos="8834"/>
            </w:tabs>
            <w:adjustRightInd w:val="0"/>
            <w:spacing w:line="480" w:lineRule="auto"/>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"_Toc88128713" </w:instrText>
          </w:r>
          <w:r>
            <w:rPr>
              <w:rFonts w:hint="default" w:ascii="Times New Roman" w:hAnsi="Times New Roman" w:eastAsia="宋体" w:cs="Times New Roman"/>
              <w:color w:val="auto"/>
              <w:sz w:val="28"/>
              <w:szCs w:val="28"/>
              <w:highlight w:val="none"/>
            </w:rPr>
            <w:fldChar w:fldCharType="separate"/>
          </w:r>
          <w:r>
            <w:rPr>
              <w:rStyle w:val="57"/>
              <w:rFonts w:hint="default" w:ascii="Times New Roman" w:hAnsi="Times New Roman" w:eastAsia="宋体" w:cs="Times New Roman"/>
              <w:b/>
              <w:bCs/>
              <w:snapToGrid w:val="0"/>
              <w:color w:val="auto"/>
              <w:sz w:val="28"/>
              <w:szCs w:val="28"/>
              <w:highlight w:val="none"/>
            </w:rPr>
            <w:t>七、结论</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_Toc88128713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- 78 -</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09112683">
          <w:pPr>
            <w:adjustRightInd w:val="0"/>
            <w:spacing w:line="480" w:lineRule="auto"/>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lang w:val="zh-CN"/>
            </w:rPr>
            <w:fldChar w:fldCharType="end"/>
          </w:r>
        </w:p>
      </w:sdtContent>
    </w:sdt>
    <w:p w14:paraId="1783F5B4">
      <w:pPr>
        <w:widowControl/>
        <w:jc w:val="left"/>
        <w:rPr>
          <w:rFonts w:hint="default" w:ascii="Times New Roman" w:hAnsi="Times New Roman" w:eastAsia="宋体" w:cs="Times New Roman"/>
          <w:b/>
          <w:snapToGrid w:val="0"/>
          <w:color w:val="auto"/>
          <w:kern w:val="0"/>
          <w:sz w:val="24"/>
          <w:szCs w:val="30"/>
          <w:highlight w:val="none"/>
        </w:rPr>
      </w:pPr>
    </w:p>
    <w:p w14:paraId="7CA9385B">
      <w:pPr>
        <w:widowControl/>
        <w:jc w:val="left"/>
        <w:rPr>
          <w:rFonts w:hint="default" w:ascii="Times New Roman" w:hAnsi="Times New Roman" w:eastAsia="宋体" w:cs="Times New Roman"/>
          <w:b/>
          <w:snapToGrid w:val="0"/>
          <w:color w:val="auto"/>
          <w:kern w:val="0"/>
          <w:sz w:val="24"/>
          <w:szCs w:val="30"/>
          <w:highlight w:val="none"/>
        </w:rPr>
      </w:pPr>
    </w:p>
    <w:p w14:paraId="2779AA2B">
      <w:pPr>
        <w:widowControl/>
        <w:jc w:val="left"/>
        <w:rPr>
          <w:rFonts w:hint="default" w:ascii="Times New Roman" w:hAnsi="Times New Roman" w:eastAsia="宋体" w:cs="Times New Roman"/>
          <w:b/>
          <w:snapToGrid w:val="0"/>
          <w:color w:val="auto"/>
          <w:kern w:val="0"/>
          <w:sz w:val="24"/>
          <w:szCs w:val="30"/>
          <w:highlight w:val="none"/>
        </w:rPr>
      </w:pPr>
    </w:p>
    <w:p w14:paraId="2BD98795">
      <w:pPr>
        <w:widowControl/>
        <w:jc w:val="left"/>
        <w:rPr>
          <w:rFonts w:hint="default" w:ascii="Times New Roman" w:hAnsi="Times New Roman" w:eastAsia="宋体" w:cs="Times New Roman"/>
          <w:b/>
          <w:snapToGrid w:val="0"/>
          <w:color w:val="auto"/>
          <w:kern w:val="0"/>
          <w:sz w:val="24"/>
          <w:szCs w:val="30"/>
          <w:highlight w:val="none"/>
        </w:rPr>
      </w:pPr>
    </w:p>
    <w:p w14:paraId="7EB5D651">
      <w:pPr>
        <w:widowControl/>
        <w:jc w:val="left"/>
        <w:rPr>
          <w:rFonts w:hint="default" w:ascii="Times New Roman" w:hAnsi="Times New Roman" w:eastAsia="宋体" w:cs="Times New Roman"/>
          <w:b/>
          <w:snapToGrid w:val="0"/>
          <w:color w:val="auto"/>
          <w:kern w:val="0"/>
          <w:sz w:val="24"/>
          <w:szCs w:val="30"/>
          <w:highlight w:val="none"/>
        </w:rPr>
      </w:pPr>
    </w:p>
    <w:p w14:paraId="130FA889">
      <w:pPr>
        <w:widowControl/>
        <w:jc w:val="left"/>
        <w:rPr>
          <w:rFonts w:hint="default" w:ascii="Times New Roman" w:hAnsi="Times New Roman" w:eastAsia="宋体" w:cs="Times New Roman"/>
          <w:b/>
          <w:snapToGrid w:val="0"/>
          <w:color w:val="auto"/>
          <w:kern w:val="0"/>
          <w:sz w:val="24"/>
          <w:szCs w:val="30"/>
          <w:highlight w:val="none"/>
        </w:rPr>
      </w:pPr>
    </w:p>
    <w:p w14:paraId="64BC6C2B">
      <w:pPr>
        <w:widowControl/>
        <w:jc w:val="left"/>
        <w:rPr>
          <w:rFonts w:hint="default" w:ascii="Times New Roman" w:hAnsi="Times New Roman" w:eastAsia="宋体" w:cs="Times New Roman"/>
          <w:b/>
          <w:snapToGrid w:val="0"/>
          <w:color w:val="auto"/>
          <w:kern w:val="0"/>
          <w:sz w:val="24"/>
          <w:szCs w:val="30"/>
          <w:highlight w:val="none"/>
        </w:rPr>
      </w:pPr>
    </w:p>
    <w:p w14:paraId="3403F4F3">
      <w:pPr>
        <w:widowControl/>
        <w:jc w:val="left"/>
        <w:rPr>
          <w:rFonts w:hint="default" w:ascii="Times New Roman" w:hAnsi="Times New Roman" w:eastAsia="宋体" w:cs="Times New Roman"/>
          <w:b/>
          <w:snapToGrid w:val="0"/>
          <w:color w:val="auto"/>
          <w:kern w:val="0"/>
          <w:sz w:val="24"/>
          <w:szCs w:val="30"/>
          <w:highlight w:val="none"/>
        </w:rPr>
      </w:pPr>
    </w:p>
    <w:p w14:paraId="1F6BB121">
      <w:pPr>
        <w:widowControl/>
        <w:jc w:val="left"/>
        <w:rPr>
          <w:rFonts w:hint="default" w:ascii="Times New Roman" w:hAnsi="Times New Roman" w:eastAsia="宋体" w:cs="Times New Roman"/>
          <w:b/>
          <w:snapToGrid w:val="0"/>
          <w:color w:val="auto"/>
          <w:kern w:val="0"/>
          <w:sz w:val="24"/>
          <w:szCs w:val="30"/>
          <w:highlight w:val="none"/>
        </w:rPr>
      </w:pPr>
    </w:p>
    <w:p w14:paraId="491D5400">
      <w:pPr>
        <w:widowControl/>
        <w:jc w:val="left"/>
        <w:rPr>
          <w:rFonts w:hint="default" w:ascii="Times New Roman" w:hAnsi="Times New Roman" w:eastAsia="宋体" w:cs="Times New Roman"/>
          <w:b/>
          <w:snapToGrid w:val="0"/>
          <w:color w:val="auto"/>
          <w:kern w:val="0"/>
          <w:sz w:val="24"/>
          <w:szCs w:val="30"/>
          <w:highlight w:val="none"/>
        </w:rPr>
      </w:pPr>
    </w:p>
    <w:p w14:paraId="691117C5">
      <w:pPr>
        <w:widowControl/>
        <w:jc w:val="left"/>
        <w:rPr>
          <w:rFonts w:hint="default" w:ascii="Times New Roman" w:hAnsi="Times New Roman" w:eastAsia="宋体" w:cs="Times New Roman"/>
          <w:b/>
          <w:snapToGrid w:val="0"/>
          <w:color w:val="auto"/>
          <w:kern w:val="0"/>
          <w:sz w:val="24"/>
          <w:szCs w:val="30"/>
          <w:highlight w:val="none"/>
        </w:rPr>
      </w:pPr>
    </w:p>
    <w:p w14:paraId="1F199808">
      <w:pPr>
        <w:widowControl/>
        <w:jc w:val="left"/>
        <w:rPr>
          <w:rFonts w:hint="default" w:ascii="Times New Roman" w:hAnsi="Times New Roman" w:eastAsia="宋体" w:cs="Times New Roman"/>
          <w:b/>
          <w:snapToGrid w:val="0"/>
          <w:color w:val="auto"/>
          <w:kern w:val="0"/>
          <w:sz w:val="24"/>
          <w:szCs w:val="30"/>
          <w:highlight w:val="none"/>
        </w:rPr>
      </w:pPr>
    </w:p>
    <w:p w14:paraId="4A5622C1">
      <w:pPr>
        <w:widowControl/>
        <w:jc w:val="left"/>
        <w:rPr>
          <w:rFonts w:hint="default" w:ascii="Times New Roman" w:hAnsi="Times New Roman" w:eastAsia="宋体" w:cs="Times New Roman"/>
          <w:b/>
          <w:snapToGrid w:val="0"/>
          <w:color w:val="auto"/>
          <w:kern w:val="0"/>
          <w:sz w:val="24"/>
          <w:szCs w:val="30"/>
          <w:highlight w:val="none"/>
        </w:rPr>
      </w:pPr>
    </w:p>
    <w:p w14:paraId="4868074B">
      <w:pPr>
        <w:widowControl/>
        <w:jc w:val="left"/>
        <w:rPr>
          <w:rFonts w:hint="default" w:ascii="Times New Roman" w:hAnsi="Times New Roman" w:eastAsia="宋体" w:cs="Times New Roman"/>
          <w:b/>
          <w:snapToGrid w:val="0"/>
          <w:color w:val="auto"/>
          <w:kern w:val="0"/>
          <w:sz w:val="24"/>
          <w:szCs w:val="30"/>
          <w:highlight w:val="none"/>
        </w:rPr>
      </w:pPr>
    </w:p>
    <w:p w14:paraId="55B14E35">
      <w:pPr>
        <w:widowControl/>
        <w:jc w:val="left"/>
        <w:rPr>
          <w:rFonts w:hint="default" w:ascii="Times New Roman" w:hAnsi="Times New Roman" w:eastAsia="宋体" w:cs="Times New Roman"/>
          <w:b/>
          <w:snapToGrid w:val="0"/>
          <w:color w:val="auto"/>
          <w:kern w:val="0"/>
          <w:sz w:val="24"/>
          <w:szCs w:val="30"/>
          <w:highlight w:val="none"/>
        </w:rPr>
      </w:pPr>
    </w:p>
    <w:p w14:paraId="6C8A1232">
      <w:pPr>
        <w:widowControl/>
        <w:jc w:val="left"/>
        <w:rPr>
          <w:rFonts w:hint="default" w:ascii="Times New Roman" w:hAnsi="Times New Roman" w:eastAsia="宋体" w:cs="Times New Roman"/>
          <w:b/>
          <w:snapToGrid w:val="0"/>
          <w:color w:val="auto"/>
          <w:kern w:val="0"/>
          <w:sz w:val="24"/>
          <w:szCs w:val="30"/>
          <w:highlight w:val="none"/>
        </w:rPr>
      </w:pPr>
    </w:p>
    <w:p w14:paraId="418B4FC0">
      <w:pPr>
        <w:widowControl/>
        <w:jc w:val="left"/>
        <w:rPr>
          <w:rFonts w:hint="default" w:ascii="Times New Roman" w:hAnsi="Times New Roman" w:eastAsia="宋体" w:cs="Times New Roman"/>
          <w:b/>
          <w:snapToGrid w:val="0"/>
          <w:color w:val="auto"/>
          <w:kern w:val="0"/>
          <w:sz w:val="24"/>
          <w:szCs w:val="30"/>
          <w:highlight w:val="none"/>
        </w:rPr>
      </w:pPr>
    </w:p>
    <w:p w14:paraId="7890101A">
      <w:pPr>
        <w:widowControl/>
        <w:jc w:val="left"/>
        <w:rPr>
          <w:rFonts w:hint="default" w:ascii="Times New Roman" w:hAnsi="Times New Roman" w:eastAsia="宋体" w:cs="Times New Roman"/>
          <w:b/>
          <w:snapToGrid w:val="0"/>
          <w:color w:val="auto"/>
          <w:kern w:val="0"/>
          <w:sz w:val="24"/>
          <w:szCs w:val="30"/>
          <w:highlight w:val="none"/>
        </w:rPr>
      </w:pPr>
    </w:p>
    <w:p w14:paraId="717EC4B1">
      <w:pPr>
        <w:widowControl/>
        <w:jc w:val="left"/>
        <w:rPr>
          <w:rFonts w:hint="default" w:ascii="Times New Roman" w:hAnsi="Times New Roman" w:eastAsia="宋体" w:cs="Times New Roman"/>
          <w:b/>
          <w:snapToGrid w:val="0"/>
          <w:color w:val="auto"/>
          <w:kern w:val="0"/>
          <w:sz w:val="24"/>
          <w:szCs w:val="30"/>
          <w:highlight w:val="none"/>
        </w:rPr>
      </w:pPr>
    </w:p>
    <w:p w14:paraId="584BF9AF">
      <w:pPr>
        <w:widowControl/>
        <w:jc w:val="left"/>
        <w:rPr>
          <w:rFonts w:hint="default" w:ascii="Times New Roman" w:hAnsi="Times New Roman" w:eastAsia="宋体" w:cs="Times New Roman"/>
          <w:b/>
          <w:snapToGrid w:val="0"/>
          <w:color w:val="auto"/>
          <w:kern w:val="0"/>
          <w:sz w:val="24"/>
          <w:szCs w:val="30"/>
          <w:highlight w:val="none"/>
        </w:rPr>
      </w:pPr>
    </w:p>
    <w:p w14:paraId="7EF687B2">
      <w:pPr>
        <w:widowControl/>
        <w:jc w:val="left"/>
        <w:rPr>
          <w:rFonts w:hint="default" w:ascii="Times New Roman" w:hAnsi="Times New Roman" w:eastAsia="宋体" w:cs="Times New Roman"/>
          <w:b/>
          <w:snapToGrid w:val="0"/>
          <w:color w:val="auto"/>
          <w:kern w:val="0"/>
          <w:sz w:val="24"/>
          <w:szCs w:val="30"/>
          <w:highlight w:val="none"/>
        </w:rPr>
      </w:pPr>
    </w:p>
    <w:p w14:paraId="3F92B8FE">
      <w:pPr>
        <w:widowControl/>
        <w:jc w:val="left"/>
        <w:rPr>
          <w:rFonts w:hint="default" w:ascii="Times New Roman" w:hAnsi="Times New Roman" w:eastAsia="宋体" w:cs="Times New Roman"/>
          <w:b/>
          <w:snapToGrid w:val="0"/>
          <w:color w:val="auto"/>
          <w:kern w:val="0"/>
          <w:sz w:val="24"/>
          <w:szCs w:val="30"/>
          <w:highlight w:val="none"/>
        </w:rPr>
      </w:pPr>
    </w:p>
    <w:p w14:paraId="35400677">
      <w:pPr>
        <w:widowControl/>
        <w:adjustRightInd w:val="0"/>
        <w:spacing w:line="360" w:lineRule="auto"/>
        <w:outlineLvl w:val="9"/>
        <w:rPr>
          <w:rFonts w:hint="default" w:ascii="Times New Roman" w:hAnsi="Times New Roman" w:eastAsia="宋体" w:cs="Times New Roman"/>
          <w:b/>
          <w:bCs/>
          <w:snapToGrid w:val="0"/>
          <w:color w:val="auto"/>
          <w:kern w:val="0"/>
          <w:sz w:val="24"/>
          <w:szCs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type="lines" w:linePitch="335" w:charSpace="0"/>
        </w:sectPr>
      </w:pPr>
      <w:bookmarkStart w:id="15" w:name="_Toc7288"/>
    </w:p>
    <w:bookmarkEnd w:id="15"/>
    <w:p w14:paraId="7A7038E2">
      <w:pPr>
        <w:widowControl/>
        <w:adjustRightInd w:val="0"/>
        <w:spacing w:line="360" w:lineRule="auto"/>
        <w:ind w:firstLine="482" w:firstLineChars="200"/>
        <w:rPr>
          <w:rFonts w:hint="default" w:ascii="Times New Roman" w:hAnsi="Times New Roman" w:eastAsia="宋体" w:cs="Times New Roman"/>
          <w:b/>
          <w:bCs/>
          <w:snapToGrid w:val="0"/>
          <w:color w:val="auto"/>
          <w:kern w:val="0"/>
          <w:sz w:val="24"/>
          <w:szCs w:val="30"/>
          <w:highlight w:val="none"/>
          <w:lang w:eastAsia="zh-CN"/>
        </w:rPr>
      </w:pPr>
      <w:bookmarkStart w:id="16" w:name="_Toc25139"/>
      <w:bookmarkStart w:id="17" w:name="_Toc5972"/>
      <w:bookmarkStart w:id="18" w:name="_Toc3277"/>
      <w:bookmarkStart w:id="19" w:name="_Toc24684"/>
      <w:bookmarkStart w:id="20" w:name="_Toc14061"/>
      <w:bookmarkStart w:id="21" w:name="_Toc17248"/>
      <w:bookmarkStart w:id="22" w:name="_Toc18868"/>
      <w:r>
        <w:rPr>
          <w:rFonts w:hint="default" w:ascii="Times New Roman" w:hAnsi="Times New Roman" w:eastAsia="宋体" w:cs="Times New Roman"/>
          <w:b/>
          <w:bCs/>
          <w:snapToGrid w:val="0"/>
          <w:color w:val="auto"/>
          <w:kern w:val="0"/>
          <w:sz w:val="24"/>
          <w:szCs w:val="30"/>
          <w:highlight w:val="none"/>
          <w:lang w:eastAsia="zh-CN"/>
        </w:rPr>
        <w:t>附件：</w:t>
      </w:r>
      <w:bookmarkEnd w:id="16"/>
      <w:bookmarkEnd w:id="17"/>
      <w:bookmarkEnd w:id="18"/>
      <w:bookmarkEnd w:id="19"/>
      <w:bookmarkEnd w:id="20"/>
      <w:bookmarkEnd w:id="21"/>
      <w:bookmarkEnd w:id="22"/>
    </w:p>
    <w:p w14:paraId="05825A9D">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附件1：</w:t>
      </w:r>
      <w:r>
        <w:rPr>
          <w:rFonts w:hint="default" w:ascii="Times New Roman" w:hAnsi="Times New Roman" w:eastAsia="宋体" w:cs="Times New Roman"/>
          <w:snapToGrid w:val="0"/>
          <w:color w:val="auto"/>
          <w:kern w:val="0"/>
          <w:sz w:val="24"/>
          <w:szCs w:val="30"/>
          <w:highlight w:val="none"/>
          <w:lang w:val="en-US" w:eastAsia="zh-CN"/>
        </w:rPr>
        <w:t>项目</w:t>
      </w:r>
      <w:r>
        <w:rPr>
          <w:rFonts w:hint="default" w:ascii="Times New Roman" w:hAnsi="Times New Roman" w:eastAsia="宋体" w:cs="Times New Roman"/>
          <w:snapToGrid w:val="0"/>
          <w:color w:val="auto"/>
          <w:kern w:val="0"/>
          <w:sz w:val="24"/>
          <w:szCs w:val="30"/>
          <w:highlight w:val="none"/>
          <w:lang w:eastAsia="zh-CN"/>
        </w:rPr>
        <w:t>委托书；</w:t>
      </w:r>
    </w:p>
    <w:p w14:paraId="23ECC36C">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zh-CN" w:eastAsia="zh-CN"/>
        </w:rPr>
      </w:pPr>
      <w:r>
        <w:rPr>
          <w:rFonts w:hint="default" w:ascii="Times New Roman" w:hAnsi="Times New Roman" w:eastAsia="宋体" w:cs="Times New Roman"/>
          <w:snapToGrid w:val="0"/>
          <w:color w:val="auto"/>
          <w:kern w:val="0"/>
          <w:sz w:val="24"/>
          <w:szCs w:val="30"/>
          <w:highlight w:val="none"/>
          <w:lang w:eastAsia="zh-CN"/>
        </w:rPr>
        <w:t>附件2：</w:t>
      </w:r>
      <w:r>
        <w:rPr>
          <w:rFonts w:hint="default" w:ascii="Times New Roman" w:hAnsi="Times New Roman" w:eastAsia="宋体" w:cs="Times New Roman"/>
          <w:snapToGrid w:val="0"/>
          <w:color w:val="auto"/>
          <w:kern w:val="0"/>
          <w:sz w:val="24"/>
          <w:szCs w:val="30"/>
          <w:highlight w:val="none"/>
          <w:lang w:val="zh-CN" w:eastAsia="zh-CN"/>
        </w:rPr>
        <w:t>投资项目备案证；</w:t>
      </w:r>
    </w:p>
    <w:p w14:paraId="081A1E40">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val="zh-CN" w:eastAsia="zh-CN"/>
        </w:rPr>
        <w:t>附件</w:t>
      </w:r>
      <w:r>
        <w:rPr>
          <w:rFonts w:hint="default" w:ascii="Times New Roman" w:hAnsi="Times New Roman" w:eastAsia="宋体" w:cs="Times New Roman"/>
          <w:snapToGrid w:val="0"/>
          <w:color w:val="auto"/>
          <w:kern w:val="0"/>
          <w:sz w:val="24"/>
          <w:szCs w:val="30"/>
          <w:highlight w:val="none"/>
          <w:lang w:eastAsia="zh-CN"/>
        </w:rPr>
        <w:t>3：</w:t>
      </w:r>
      <w:r>
        <w:rPr>
          <w:rFonts w:hint="default" w:ascii="Times New Roman" w:hAnsi="Times New Roman" w:eastAsia="宋体" w:cs="Times New Roman"/>
          <w:snapToGrid w:val="0"/>
          <w:color w:val="auto"/>
          <w:kern w:val="0"/>
          <w:sz w:val="24"/>
          <w:szCs w:val="30"/>
          <w:highlight w:val="none"/>
          <w:lang w:val="en-US" w:eastAsia="zh-CN"/>
        </w:rPr>
        <w:t>建设项目用地预审与选址意见书；</w:t>
      </w:r>
    </w:p>
    <w:p w14:paraId="71A47AA9">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val="en-US" w:eastAsia="zh-CN"/>
        </w:rPr>
        <w:t>附件4：</w:t>
      </w:r>
      <w:r>
        <w:rPr>
          <w:rFonts w:hint="default" w:ascii="Times New Roman" w:hAnsi="Times New Roman" w:eastAsia="宋体" w:cs="Times New Roman"/>
          <w:snapToGrid w:val="0"/>
          <w:color w:val="auto"/>
          <w:kern w:val="0"/>
          <w:sz w:val="24"/>
          <w:szCs w:val="30"/>
          <w:highlight w:val="none"/>
          <w:lang w:eastAsia="zh-CN"/>
        </w:rPr>
        <w:t>禄劝彝族苗族自治县云龙水库水源保护区管理局关于《关于禄劝皎平渡镇永善村120MW中清能禄劝县岩子头200MW等4个光伏电站建设项目出示相关意见的函》的复函，</w:t>
      </w:r>
      <w:r>
        <w:rPr>
          <w:rFonts w:hint="default" w:ascii="Times New Roman" w:hAnsi="Times New Roman" w:eastAsia="宋体" w:cs="Times New Roman"/>
          <w:snapToGrid w:val="0"/>
          <w:color w:val="auto"/>
          <w:kern w:val="0"/>
          <w:sz w:val="24"/>
          <w:szCs w:val="30"/>
          <w:highlight w:val="none"/>
          <w:lang w:val="en-US" w:eastAsia="zh-CN"/>
        </w:rPr>
        <w:t>2023.03.16</w:t>
      </w:r>
      <w:r>
        <w:rPr>
          <w:rFonts w:hint="default" w:ascii="Times New Roman" w:hAnsi="Times New Roman" w:eastAsia="宋体" w:cs="Times New Roman"/>
          <w:snapToGrid w:val="0"/>
          <w:color w:val="auto"/>
          <w:kern w:val="0"/>
          <w:sz w:val="24"/>
          <w:szCs w:val="30"/>
          <w:highlight w:val="none"/>
          <w:lang w:eastAsia="zh-CN"/>
        </w:rPr>
        <w:t>；</w:t>
      </w:r>
    </w:p>
    <w:p w14:paraId="156C0263">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val="en-US" w:eastAsia="zh-CN"/>
        </w:rPr>
        <w:t>附件5：</w:t>
      </w:r>
      <w:r>
        <w:rPr>
          <w:rFonts w:hint="default" w:ascii="Times New Roman" w:hAnsi="Times New Roman" w:eastAsia="宋体" w:cs="Times New Roman"/>
          <w:snapToGrid w:val="0"/>
          <w:color w:val="auto"/>
          <w:kern w:val="0"/>
          <w:sz w:val="24"/>
          <w:szCs w:val="30"/>
          <w:highlight w:val="none"/>
          <w:lang w:eastAsia="zh-CN"/>
        </w:rPr>
        <w:t>禄劝彝族苗族自治县自然资源局</w:t>
      </w:r>
      <w:r>
        <w:rPr>
          <w:rFonts w:hint="default" w:ascii="Times New Roman" w:hAnsi="Times New Roman" w:eastAsia="宋体" w:cs="Times New Roman"/>
          <w:snapToGrid w:val="0"/>
          <w:color w:val="auto"/>
          <w:kern w:val="0"/>
          <w:sz w:val="24"/>
          <w:szCs w:val="30"/>
          <w:highlight w:val="none"/>
          <w:lang w:val="en-US" w:eastAsia="zh-CN"/>
        </w:rPr>
        <w:t>关于《</w:t>
      </w:r>
      <w:r>
        <w:rPr>
          <w:rFonts w:hint="default" w:ascii="Times New Roman" w:hAnsi="Times New Roman" w:eastAsia="宋体" w:cs="Times New Roman"/>
          <w:snapToGrid w:val="0"/>
          <w:color w:val="auto"/>
          <w:kern w:val="0"/>
          <w:sz w:val="24"/>
          <w:szCs w:val="30"/>
          <w:highlight w:val="none"/>
          <w:lang w:eastAsia="zh-CN"/>
        </w:rPr>
        <w:t>中清能禄劝县岩子头200MW生态修复光伏电站项目</w:t>
      </w:r>
      <w:r>
        <w:rPr>
          <w:rFonts w:hint="default" w:ascii="Times New Roman" w:hAnsi="Times New Roman" w:eastAsia="宋体" w:cs="Times New Roman"/>
          <w:snapToGrid w:val="0"/>
          <w:color w:val="auto"/>
          <w:kern w:val="0"/>
          <w:sz w:val="24"/>
          <w:szCs w:val="30"/>
          <w:highlight w:val="none"/>
          <w:lang w:val="en-US" w:eastAsia="zh-CN"/>
        </w:rPr>
        <w:t>的地类核查意见》</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2023.03.16</w:t>
      </w:r>
      <w:r>
        <w:rPr>
          <w:rFonts w:hint="default" w:ascii="Times New Roman" w:hAnsi="Times New Roman" w:eastAsia="宋体" w:cs="Times New Roman"/>
          <w:snapToGrid w:val="0"/>
          <w:color w:val="auto"/>
          <w:kern w:val="0"/>
          <w:sz w:val="24"/>
          <w:szCs w:val="30"/>
          <w:highlight w:val="none"/>
          <w:lang w:eastAsia="zh-CN"/>
        </w:rPr>
        <w:t>；</w:t>
      </w:r>
    </w:p>
    <w:p w14:paraId="32FF76D6">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val="en-US" w:eastAsia="zh-CN"/>
        </w:rPr>
        <w:t>附件6：</w:t>
      </w:r>
      <w:r>
        <w:rPr>
          <w:rFonts w:hint="default" w:ascii="Times New Roman" w:hAnsi="Times New Roman" w:eastAsia="宋体" w:cs="Times New Roman"/>
          <w:snapToGrid w:val="0"/>
          <w:color w:val="auto"/>
          <w:kern w:val="0"/>
          <w:sz w:val="24"/>
          <w:szCs w:val="30"/>
          <w:highlight w:val="none"/>
          <w:lang w:eastAsia="zh-CN"/>
        </w:rPr>
        <w:t>禄劝彝族苗族自治县自然资源局</w:t>
      </w:r>
      <w:r>
        <w:rPr>
          <w:rFonts w:hint="default" w:ascii="Times New Roman" w:hAnsi="Times New Roman" w:eastAsia="宋体" w:cs="Times New Roman"/>
          <w:snapToGrid w:val="0"/>
          <w:color w:val="auto"/>
          <w:kern w:val="0"/>
          <w:sz w:val="24"/>
          <w:szCs w:val="30"/>
          <w:highlight w:val="none"/>
          <w:lang w:val="en-US" w:eastAsia="zh-CN"/>
        </w:rPr>
        <w:t>关于《</w:t>
      </w:r>
      <w:r>
        <w:rPr>
          <w:rFonts w:hint="default" w:ascii="Times New Roman" w:hAnsi="Times New Roman" w:eastAsia="宋体" w:cs="Times New Roman"/>
          <w:snapToGrid w:val="0"/>
          <w:color w:val="auto"/>
          <w:kern w:val="0"/>
          <w:sz w:val="24"/>
          <w:szCs w:val="30"/>
          <w:highlight w:val="none"/>
          <w:lang w:eastAsia="zh-CN"/>
        </w:rPr>
        <w:t>中清能禄劝县岩子头200MW生态修复光伏电站项目压覆矿情况查询结果表</w:t>
      </w:r>
      <w:r>
        <w:rPr>
          <w:rFonts w:hint="default" w:ascii="Times New Roman" w:hAnsi="Times New Roman" w:eastAsia="宋体" w:cs="Times New Roman"/>
          <w:snapToGrid w:val="0"/>
          <w:color w:val="auto"/>
          <w:kern w:val="0"/>
          <w:sz w:val="24"/>
          <w:szCs w:val="30"/>
          <w:highlight w:val="none"/>
          <w:lang w:val="en-US" w:eastAsia="zh-CN"/>
        </w:rPr>
        <w:t>》，2022.03.18</w:t>
      </w:r>
      <w:r>
        <w:rPr>
          <w:rFonts w:hint="default" w:ascii="Times New Roman" w:hAnsi="Times New Roman" w:eastAsia="宋体" w:cs="Times New Roman"/>
          <w:snapToGrid w:val="0"/>
          <w:color w:val="auto"/>
          <w:kern w:val="0"/>
          <w:sz w:val="24"/>
          <w:szCs w:val="30"/>
          <w:highlight w:val="none"/>
          <w:lang w:eastAsia="zh-CN"/>
        </w:rPr>
        <w:t>；</w:t>
      </w:r>
    </w:p>
    <w:p w14:paraId="6DC8A96C">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val="en-US" w:eastAsia="zh-CN"/>
        </w:rPr>
        <w:t>附件7：</w:t>
      </w:r>
      <w:r>
        <w:rPr>
          <w:rFonts w:hint="default" w:ascii="Times New Roman" w:hAnsi="Times New Roman" w:eastAsia="宋体" w:cs="Times New Roman"/>
          <w:snapToGrid w:val="0"/>
          <w:color w:val="auto"/>
          <w:kern w:val="0"/>
          <w:sz w:val="24"/>
          <w:szCs w:val="30"/>
          <w:highlight w:val="none"/>
          <w:lang w:eastAsia="zh-CN"/>
        </w:rPr>
        <w:t>禄劝彝族苗族自治县自然资源局关于《中清能禄劝县岩子头200MW生态修复光伏电站项目的规划核查意见》</w:t>
      </w:r>
      <w:r>
        <w:rPr>
          <w:rFonts w:hint="default" w:ascii="Times New Roman" w:hAnsi="Times New Roman" w:eastAsia="宋体" w:cs="Times New Roman"/>
          <w:snapToGrid w:val="0"/>
          <w:color w:val="auto"/>
          <w:kern w:val="0"/>
          <w:sz w:val="24"/>
          <w:szCs w:val="30"/>
          <w:highlight w:val="none"/>
          <w:lang w:val="en-US" w:eastAsia="zh-CN"/>
        </w:rPr>
        <w:t>2022.09.06</w:t>
      </w:r>
      <w:r>
        <w:rPr>
          <w:rFonts w:hint="default" w:ascii="Times New Roman" w:hAnsi="Times New Roman" w:eastAsia="宋体" w:cs="Times New Roman"/>
          <w:snapToGrid w:val="0"/>
          <w:color w:val="auto"/>
          <w:kern w:val="0"/>
          <w:sz w:val="24"/>
          <w:szCs w:val="30"/>
          <w:highlight w:val="none"/>
          <w:lang w:eastAsia="zh-CN"/>
        </w:rPr>
        <w:t>；</w:t>
      </w:r>
    </w:p>
    <w:p w14:paraId="327D1282">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附件</w:t>
      </w:r>
      <w:r>
        <w:rPr>
          <w:rFonts w:hint="default" w:ascii="Times New Roman" w:hAnsi="Times New Roman" w:eastAsia="宋体" w:cs="Times New Roman"/>
          <w:snapToGrid w:val="0"/>
          <w:color w:val="auto"/>
          <w:kern w:val="0"/>
          <w:sz w:val="24"/>
          <w:szCs w:val="30"/>
          <w:highlight w:val="none"/>
          <w:lang w:val="en-US" w:eastAsia="zh-CN"/>
        </w:rPr>
        <w:t>8</w:t>
      </w:r>
      <w:r>
        <w:rPr>
          <w:rFonts w:hint="default" w:ascii="Times New Roman" w:hAnsi="Times New Roman" w:eastAsia="宋体" w:cs="Times New Roman"/>
          <w:snapToGrid w:val="0"/>
          <w:color w:val="auto"/>
          <w:kern w:val="0"/>
          <w:sz w:val="24"/>
          <w:szCs w:val="30"/>
          <w:highlight w:val="none"/>
          <w:lang w:eastAsia="zh-CN"/>
        </w:rPr>
        <w:t>：禄劝彝族苗族自治县林业和草原局关于《中清能禄劝县岩子头200MW生态修复光伏电站项目选址意见书》，</w:t>
      </w:r>
      <w:r>
        <w:rPr>
          <w:rFonts w:hint="default" w:ascii="Times New Roman" w:hAnsi="Times New Roman" w:eastAsia="宋体" w:cs="Times New Roman"/>
          <w:snapToGrid w:val="0"/>
          <w:color w:val="auto"/>
          <w:kern w:val="0"/>
          <w:sz w:val="24"/>
          <w:szCs w:val="30"/>
          <w:highlight w:val="none"/>
          <w:lang w:val="en-US" w:eastAsia="zh-CN"/>
        </w:rPr>
        <w:t>2022.07.18</w:t>
      </w:r>
      <w:r>
        <w:rPr>
          <w:rFonts w:hint="default" w:ascii="Times New Roman" w:hAnsi="Times New Roman" w:eastAsia="宋体" w:cs="Times New Roman"/>
          <w:snapToGrid w:val="0"/>
          <w:color w:val="auto"/>
          <w:kern w:val="0"/>
          <w:sz w:val="24"/>
          <w:szCs w:val="30"/>
          <w:highlight w:val="none"/>
          <w:lang w:eastAsia="zh-CN"/>
        </w:rPr>
        <w:t>；</w:t>
      </w:r>
    </w:p>
    <w:p w14:paraId="405DA85E">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附件</w:t>
      </w:r>
      <w:r>
        <w:rPr>
          <w:rFonts w:hint="default" w:ascii="Times New Roman" w:hAnsi="Times New Roman" w:eastAsia="宋体" w:cs="Times New Roman"/>
          <w:snapToGrid w:val="0"/>
          <w:color w:val="auto"/>
          <w:kern w:val="0"/>
          <w:sz w:val="24"/>
          <w:szCs w:val="30"/>
          <w:highlight w:val="none"/>
          <w:lang w:val="en-US" w:eastAsia="zh-CN"/>
        </w:rPr>
        <w:t>9</w:t>
      </w:r>
      <w:r>
        <w:rPr>
          <w:rFonts w:hint="default" w:ascii="Times New Roman" w:hAnsi="Times New Roman" w:eastAsia="宋体" w:cs="Times New Roman"/>
          <w:snapToGrid w:val="0"/>
          <w:color w:val="auto"/>
          <w:kern w:val="0"/>
          <w:sz w:val="24"/>
          <w:szCs w:val="30"/>
          <w:highlight w:val="none"/>
          <w:lang w:eastAsia="zh-CN"/>
        </w:rPr>
        <w:t>：禄劝彝族苗族自治县军事设施保护委员会关于《中清能禄劝县岩子头200MW生态修复光伏电站项目选址意见的复函》，</w:t>
      </w:r>
      <w:r>
        <w:rPr>
          <w:rFonts w:hint="default" w:ascii="Times New Roman" w:hAnsi="Times New Roman" w:eastAsia="宋体" w:cs="Times New Roman"/>
          <w:snapToGrid w:val="0"/>
          <w:color w:val="auto"/>
          <w:kern w:val="0"/>
          <w:sz w:val="24"/>
          <w:szCs w:val="30"/>
          <w:highlight w:val="none"/>
          <w:lang w:val="en-US" w:eastAsia="zh-CN"/>
        </w:rPr>
        <w:t>2022.03.29</w:t>
      </w:r>
      <w:r>
        <w:rPr>
          <w:rFonts w:hint="default" w:ascii="Times New Roman" w:hAnsi="Times New Roman" w:eastAsia="宋体" w:cs="Times New Roman"/>
          <w:snapToGrid w:val="0"/>
          <w:color w:val="auto"/>
          <w:kern w:val="0"/>
          <w:sz w:val="24"/>
          <w:szCs w:val="30"/>
          <w:highlight w:val="none"/>
          <w:lang w:eastAsia="zh-CN"/>
        </w:rPr>
        <w:t>；</w:t>
      </w:r>
    </w:p>
    <w:p w14:paraId="603D155D">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附件</w:t>
      </w:r>
      <w:r>
        <w:rPr>
          <w:rFonts w:hint="default" w:ascii="Times New Roman" w:hAnsi="Times New Roman" w:eastAsia="宋体" w:cs="Times New Roman"/>
          <w:snapToGrid w:val="0"/>
          <w:color w:val="auto"/>
          <w:kern w:val="0"/>
          <w:sz w:val="24"/>
          <w:szCs w:val="30"/>
          <w:highlight w:val="none"/>
          <w:lang w:val="en-US" w:eastAsia="zh-CN"/>
        </w:rPr>
        <w:t>10</w:t>
      </w:r>
      <w:r>
        <w:rPr>
          <w:rFonts w:hint="default" w:ascii="Times New Roman" w:hAnsi="Times New Roman" w:eastAsia="宋体" w:cs="Times New Roman"/>
          <w:snapToGrid w:val="0"/>
          <w:color w:val="auto"/>
          <w:kern w:val="0"/>
          <w:sz w:val="24"/>
          <w:szCs w:val="30"/>
          <w:highlight w:val="none"/>
          <w:lang w:eastAsia="zh-CN"/>
        </w:rPr>
        <w:t>：禄劝彝族苗族自治县水务局关于《中清能禄劝县岩子头200MW生态修复光伏电站项目的选址意见》，</w:t>
      </w:r>
      <w:r>
        <w:rPr>
          <w:rFonts w:hint="default" w:ascii="Times New Roman" w:hAnsi="Times New Roman" w:eastAsia="宋体" w:cs="Times New Roman"/>
          <w:snapToGrid w:val="0"/>
          <w:color w:val="auto"/>
          <w:kern w:val="0"/>
          <w:sz w:val="24"/>
          <w:szCs w:val="30"/>
          <w:highlight w:val="none"/>
          <w:lang w:val="en-US" w:eastAsia="zh-CN"/>
        </w:rPr>
        <w:t>2023.03.16</w:t>
      </w:r>
      <w:r>
        <w:rPr>
          <w:rFonts w:hint="default" w:ascii="Times New Roman" w:hAnsi="Times New Roman" w:eastAsia="宋体" w:cs="Times New Roman"/>
          <w:snapToGrid w:val="0"/>
          <w:color w:val="auto"/>
          <w:kern w:val="0"/>
          <w:sz w:val="24"/>
          <w:szCs w:val="30"/>
          <w:highlight w:val="none"/>
          <w:lang w:eastAsia="zh-CN"/>
        </w:rPr>
        <w:t>；</w:t>
      </w:r>
    </w:p>
    <w:p w14:paraId="2FAD8973">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附件</w:t>
      </w:r>
      <w:r>
        <w:rPr>
          <w:rFonts w:hint="default" w:ascii="Times New Roman" w:hAnsi="Times New Roman" w:eastAsia="宋体" w:cs="Times New Roman"/>
          <w:snapToGrid w:val="0"/>
          <w:color w:val="auto"/>
          <w:kern w:val="0"/>
          <w:sz w:val="24"/>
          <w:szCs w:val="30"/>
          <w:highlight w:val="none"/>
          <w:lang w:val="en-US" w:eastAsia="zh-CN"/>
        </w:rPr>
        <w:t>11</w:t>
      </w:r>
      <w:r>
        <w:rPr>
          <w:rFonts w:hint="default" w:ascii="Times New Roman" w:hAnsi="Times New Roman" w:eastAsia="宋体" w:cs="Times New Roman"/>
          <w:snapToGrid w:val="0"/>
          <w:color w:val="auto"/>
          <w:kern w:val="0"/>
          <w:sz w:val="24"/>
          <w:szCs w:val="30"/>
          <w:highlight w:val="none"/>
          <w:lang w:eastAsia="zh-CN"/>
        </w:rPr>
        <w:t>：禄劝彝族苗族自治县文化和旅游局关于《中清能禄劝县岩子头200MW生态修复光伏电站项目选址意见请示》的批复意见，</w:t>
      </w:r>
      <w:r>
        <w:rPr>
          <w:rFonts w:hint="default" w:ascii="Times New Roman" w:hAnsi="Times New Roman" w:eastAsia="宋体" w:cs="Times New Roman"/>
          <w:snapToGrid w:val="0"/>
          <w:color w:val="auto"/>
          <w:kern w:val="0"/>
          <w:sz w:val="24"/>
          <w:szCs w:val="30"/>
          <w:highlight w:val="none"/>
          <w:lang w:val="en-US" w:eastAsia="zh-CN"/>
        </w:rPr>
        <w:t>2022.03.14</w:t>
      </w:r>
      <w:r>
        <w:rPr>
          <w:rFonts w:hint="default" w:ascii="Times New Roman" w:hAnsi="Times New Roman" w:eastAsia="宋体" w:cs="Times New Roman"/>
          <w:snapToGrid w:val="0"/>
          <w:color w:val="auto"/>
          <w:kern w:val="0"/>
          <w:sz w:val="24"/>
          <w:szCs w:val="30"/>
          <w:highlight w:val="none"/>
          <w:lang w:eastAsia="zh-CN"/>
        </w:rPr>
        <w:t>；</w:t>
      </w:r>
    </w:p>
    <w:p w14:paraId="4AEAEEF6">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eastAsia="zh-CN"/>
        </w:rPr>
        <w:t>附件</w:t>
      </w:r>
      <w:r>
        <w:rPr>
          <w:rFonts w:hint="default" w:ascii="Times New Roman" w:hAnsi="Times New Roman" w:eastAsia="宋体" w:cs="Times New Roman"/>
          <w:snapToGrid w:val="0"/>
          <w:color w:val="auto"/>
          <w:kern w:val="0"/>
          <w:sz w:val="24"/>
          <w:szCs w:val="30"/>
          <w:highlight w:val="none"/>
          <w:lang w:val="en-US" w:eastAsia="zh-CN"/>
        </w:rPr>
        <w:t>12</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昆明市生态环境局禄劝分局关于《</w:t>
      </w:r>
      <w:r>
        <w:rPr>
          <w:rFonts w:hint="default" w:ascii="Times New Roman" w:hAnsi="Times New Roman" w:eastAsia="宋体" w:cs="Times New Roman"/>
          <w:snapToGrid w:val="0"/>
          <w:color w:val="auto"/>
          <w:kern w:val="0"/>
          <w:sz w:val="24"/>
          <w:szCs w:val="30"/>
          <w:highlight w:val="none"/>
          <w:lang w:eastAsia="zh-CN"/>
        </w:rPr>
        <w:t>中清能禄劝县岩子头200MW生态修复光伏电站项目</w:t>
      </w:r>
      <w:r>
        <w:rPr>
          <w:rFonts w:hint="default" w:ascii="Times New Roman" w:hAnsi="Times New Roman" w:eastAsia="宋体" w:cs="Times New Roman"/>
          <w:snapToGrid w:val="0"/>
          <w:color w:val="auto"/>
          <w:kern w:val="0"/>
          <w:sz w:val="24"/>
          <w:szCs w:val="30"/>
          <w:highlight w:val="none"/>
          <w:lang w:val="en-US" w:eastAsia="zh-CN"/>
        </w:rPr>
        <w:t>环境影响报告表的批复》，2023.11.02；</w:t>
      </w:r>
    </w:p>
    <w:p w14:paraId="15496E65">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val="en-US" w:eastAsia="zh-CN"/>
        </w:rPr>
        <w:t>附件13：建设单位营业执照及法人身份证；</w:t>
      </w:r>
    </w:p>
    <w:p w14:paraId="6C632ED4">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val="en-US" w:eastAsia="zh-CN"/>
        </w:rPr>
        <w:t>附件14：</w:t>
      </w:r>
      <w:r>
        <w:rPr>
          <w:rFonts w:hint="eastAsia" w:cs="Times New Roman"/>
          <w:snapToGrid w:val="0"/>
          <w:color w:val="auto"/>
          <w:kern w:val="0"/>
          <w:sz w:val="24"/>
          <w:szCs w:val="30"/>
          <w:highlight w:val="none"/>
          <w:lang w:eastAsia="zh-CN"/>
        </w:rPr>
        <w:t>岩子头生态修复光伏电站220kV升压站</w:t>
      </w:r>
      <w:r>
        <w:rPr>
          <w:rFonts w:hint="default" w:ascii="Times New Roman" w:hAnsi="Times New Roman" w:eastAsia="宋体" w:cs="Times New Roman"/>
          <w:snapToGrid w:val="0"/>
          <w:color w:val="auto"/>
          <w:kern w:val="0"/>
          <w:sz w:val="24"/>
          <w:szCs w:val="30"/>
          <w:highlight w:val="none"/>
          <w:lang w:val="en-US" w:eastAsia="zh-CN"/>
        </w:rPr>
        <w:t>现状检测报告（报告编号:科环检字【2024】-1010002）；</w:t>
      </w:r>
    </w:p>
    <w:p w14:paraId="29894919">
      <w:pPr>
        <w:widowControl/>
        <w:adjustRightInd w:val="0"/>
        <w:spacing w:line="360" w:lineRule="auto"/>
        <w:ind w:firstLine="480" w:firstLineChars="200"/>
        <w:rPr>
          <w:rFonts w:hint="eastAsia"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val="en-US" w:eastAsia="zh-CN"/>
        </w:rPr>
        <w:t>附件15</w:t>
      </w:r>
      <w:r>
        <w:rPr>
          <w:rFonts w:hint="eastAsia" w:cs="Times New Roman"/>
          <w:snapToGrid w:val="0"/>
          <w:color w:val="auto"/>
          <w:kern w:val="0"/>
          <w:sz w:val="24"/>
          <w:szCs w:val="30"/>
          <w:highlight w:val="none"/>
          <w:lang w:val="en-US" w:eastAsia="zh-CN"/>
        </w:rPr>
        <w:t>：</w:t>
      </w:r>
      <w:r>
        <w:rPr>
          <w:rFonts w:hint="default" w:ascii="Times New Roman" w:hAnsi="Times New Roman" w:eastAsia="宋体" w:cs="Times New Roman"/>
          <w:snapToGrid w:val="0"/>
          <w:color w:val="auto"/>
          <w:kern w:val="0"/>
          <w:sz w:val="24"/>
          <w:szCs w:val="30"/>
          <w:highlight w:val="none"/>
          <w:lang w:val="en-US" w:eastAsia="zh-CN"/>
        </w:rPr>
        <w:t>昆明市生态环境局禄劝分局关于查询禄劝县岩子头200MW生态修复光伏电站工程涉及“三线一单”情况的复函</w:t>
      </w:r>
      <w:r>
        <w:rPr>
          <w:rFonts w:hint="eastAsia" w:cs="Times New Roman"/>
          <w:snapToGrid w:val="0"/>
          <w:color w:val="auto"/>
          <w:kern w:val="0"/>
          <w:sz w:val="24"/>
          <w:szCs w:val="30"/>
          <w:highlight w:val="none"/>
          <w:lang w:val="en-US" w:eastAsia="zh-CN"/>
        </w:rPr>
        <w:t>，2024.11.12；</w:t>
      </w:r>
    </w:p>
    <w:p w14:paraId="5D112E79">
      <w:pPr>
        <w:widowControl/>
        <w:adjustRightInd w:val="0"/>
        <w:spacing w:line="360" w:lineRule="auto"/>
        <w:outlineLvl w:val="0"/>
        <w:rPr>
          <w:rFonts w:hint="default" w:ascii="Times New Roman" w:hAnsi="Times New Roman" w:eastAsia="宋体" w:cs="Times New Roman"/>
          <w:b/>
          <w:snapToGrid w:val="0"/>
          <w:color w:val="auto"/>
          <w:kern w:val="0"/>
          <w:sz w:val="24"/>
          <w:szCs w:val="30"/>
          <w:highlight w:val="none"/>
        </w:rPr>
      </w:pPr>
      <w:bookmarkStart w:id="23" w:name="_Toc4155"/>
      <w:bookmarkStart w:id="24" w:name="_Toc21236"/>
      <w:bookmarkStart w:id="25" w:name="_Toc21655"/>
      <w:bookmarkStart w:id="26" w:name="_Toc27376"/>
      <w:bookmarkStart w:id="27" w:name="_Toc2335"/>
      <w:bookmarkStart w:id="28" w:name="_Toc31400"/>
      <w:bookmarkStart w:id="29" w:name="_Toc32417"/>
      <w:bookmarkStart w:id="30" w:name="_Toc26143"/>
    </w:p>
    <w:p w14:paraId="6115BE20">
      <w:pPr>
        <w:widowControl/>
        <w:adjustRightInd w:val="0"/>
        <w:spacing w:line="360" w:lineRule="auto"/>
        <w:outlineLvl w:val="0"/>
        <w:rPr>
          <w:rFonts w:hint="default" w:ascii="Times New Roman" w:hAnsi="Times New Roman" w:eastAsia="宋体" w:cs="Times New Roman"/>
          <w:b/>
          <w:snapToGrid w:val="0"/>
          <w:color w:val="auto"/>
          <w:kern w:val="0"/>
          <w:sz w:val="24"/>
          <w:szCs w:val="30"/>
          <w:highlight w:val="none"/>
        </w:rPr>
      </w:pPr>
      <w:r>
        <w:rPr>
          <w:rFonts w:hint="default" w:ascii="Times New Roman" w:hAnsi="Times New Roman" w:eastAsia="宋体" w:cs="Times New Roman"/>
          <w:b/>
          <w:snapToGrid w:val="0"/>
          <w:color w:val="auto"/>
          <w:kern w:val="0"/>
          <w:sz w:val="24"/>
          <w:szCs w:val="30"/>
          <w:highlight w:val="none"/>
        </w:rPr>
        <w:t>附图：</w:t>
      </w:r>
      <w:bookmarkEnd w:id="23"/>
      <w:bookmarkEnd w:id="24"/>
      <w:bookmarkEnd w:id="25"/>
      <w:bookmarkEnd w:id="26"/>
      <w:bookmarkEnd w:id="27"/>
      <w:bookmarkEnd w:id="28"/>
      <w:bookmarkEnd w:id="29"/>
      <w:bookmarkEnd w:id="30"/>
    </w:p>
    <w:p w14:paraId="6B75BE02">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rPr>
        <w:t>附图1：项目地理位置</w:t>
      </w:r>
      <w:r>
        <w:rPr>
          <w:rFonts w:hint="default" w:ascii="Times New Roman" w:hAnsi="Times New Roman" w:eastAsia="宋体" w:cs="Times New Roman"/>
          <w:snapToGrid w:val="0"/>
          <w:color w:val="auto"/>
          <w:kern w:val="0"/>
          <w:sz w:val="24"/>
          <w:szCs w:val="30"/>
          <w:highlight w:val="none"/>
          <w:lang w:val="en-US" w:eastAsia="zh-CN"/>
        </w:rPr>
        <w:t>示意</w:t>
      </w:r>
      <w:r>
        <w:rPr>
          <w:rFonts w:hint="default" w:ascii="Times New Roman" w:hAnsi="Times New Roman" w:eastAsia="宋体" w:cs="Times New Roman"/>
          <w:snapToGrid w:val="0"/>
          <w:color w:val="auto"/>
          <w:kern w:val="0"/>
          <w:sz w:val="24"/>
          <w:szCs w:val="30"/>
          <w:highlight w:val="none"/>
        </w:rPr>
        <w:t>图</w:t>
      </w:r>
      <w:r>
        <w:rPr>
          <w:rFonts w:hint="default" w:ascii="Times New Roman" w:hAnsi="Times New Roman" w:eastAsia="宋体" w:cs="Times New Roman"/>
          <w:snapToGrid w:val="0"/>
          <w:color w:val="auto"/>
          <w:kern w:val="0"/>
          <w:sz w:val="24"/>
          <w:szCs w:val="30"/>
          <w:highlight w:val="none"/>
          <w:lang w:eastAsia="zh-CN"/>
        </w:rPr>
        <w:t>；</w:t>
      </w:r>
    </w:p>
    <w:p w14:paraId="47DD2BA6">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rPr>
        <w:t>附图2：</w:t>
      </w:r>
      <w:r>
        <w:rPr>
          <w:rFonts w:hint="default" w:ascii="Times New Roman" w:hAnsi="Times New Roman" w:eastAsia="宋体" w:cs="Times New Roman"/>
          <w:snapToGrid w:val="0"/>
          <w:color w:val="auto"/>
          <w:kern w:val="0"/>
          <w:sz w:val="24"/>
          <w:szCs w:val="30"/>
          <w:highlight w:val="none"/>
          <w:lang w:val="en-US" w:eastAsia="zh-CN"/>
        </w:rPr>
        <w:t>项目周边关系示意图</w:t>
      </w:r>
      <w:r>
        <w:rPr>
          <w:rFonts w:hint="default" w:ascii="Times New Roman" w:hAnsi="Times New Roman" w:eastAsia="宋体" w:cs="Times New Roman"/>
          <w:snapToGrid w:val="0"/>
          <w:color w:val="auto"/>
          <w:kern w:val="0"/>
          <w:sz w:val="24"/>
          <w:szCs w:val="30"/>
          <w:highlight w:val="none"/>
          <w:lang w:eastAsia="zh-CN"/>
        </w:rPr>
        <w:t>；</w:t>
      </w:r>
    </w:p>
    <w:p w14:paraId="7E7A2776">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rPr>
        <w:t>附图</w:t>
      </w:r>
      <w:r>
        <w:rPr>
          <w:rFonts w:hint="default" w:ascii="Times New Roman" w:hAnsi="Times New Roman" w:eastAsia="宋体" w:cs="Times New Roman"/>
          <w:snapToGrid w:val="0"/>
          <w:color w:val="auto"/>
          <w:kern w:val="0"/>
          <w:sz w:val="24"/>
          <w:szCs w:val="30"/>
          <w:highlight w:val="none"/>
          <w:lang w:val="en-US" w:eastAsia="zh-CN"/>
        </w:rPr>
        <w:t>3</w:t>
      </w:r>
      <w:r>
        <w:rPr>
          <w:rFonts w:hint="default" w:ascii="Times New Roman" w:hAnsi="Times New Roman" w:eastAsia="宋体" w:cs="Times New Roman"/>
          <w:snapToGrid w:val="0"/>
          <w:color w:val="auto"/>
          <w:kern w:val="0"/>
          <w:sz w:val="24"/>
          <w:szCs w:val="30"/>
          <w:highlight w:val="none"/>
        </w:rPr>
        <w:t>：项目</w:t>
      </w:r>
      <w:r>
        <w:rPr>
          <w:rFonts w:hint="default" w:ascii="Times New Roman" w:hAnsi="Times New Roman" w:eastAsia="宋体" w:cs="Times New Roman"/>
          <w:snapToGrid w:val="0"/>
          <w:color w:val="auto"/>
          <w:kern w:val="0"/>
          <w:sz w:val="24"/>
          <w:szCs w:val="30"/>
          <w:highlight w:val="none"/>
          <w:lang w:val="en-US" w:eastAsia="zh-CN"/>
        </w:rPr>
        <w:t>区域</w:t>
      </w:r>
      <w:r>
        <w:rPr>
          <w:rFonts w:hint="default" w:ascii="Times New Roman" w:hAnsi="Times New Roman" w:eastAsia="宋体" w:cs="Times New Roman"/>
          <w:snapToGrid w:val="0"/>
          <w:color w:val="auto"/>
          <w:kern w:val="0"/>
          <w:sz w:val="24"/>
          <w:szCs w:val="30"/>
          <w:highlight w:val="none"/>
        </w:rPr>
        <w:t>水系图</w:t>
      </w:r>
      <w:r>
        <w:rPr>
          <w:rFonts w:hint="default" w:ascii="Times New Roman" w:hAnsi="Times New Roman" w:eastAsia="宋体" w:cs="Times New Roman"/>
          <w:snapToGrid w:val="0"/>
          <w:color w:val="auto"/>
          <w:kern w:val="0"/>
          <w:sz w:val="24"/>
          <w:szCs w:val="30"/>
          <w:highlight w:val="none"/>
          <w:lang w:val="en-US" w:eastAsia="zh-CN"/>
        </w:rPr>
        <w:t>；</w:t>
      </w:r>
    </w:p>
    <w:p w14:paraId="2D5AD2A2">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rPr>
        <w:t>附图4</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升压站总平面布置及竖向布置图</w:t>
      </w:r>
      <w:r>
        <w:rPr>
          <w:rFonts w:hint="default" w:ascii="Times New Roman" w:hAnsi="Times New Roman" w:eastAsia="宋体" w:cs="Times New Roman"/>
          <w:snapToGrid w:val="0"/>
          <w:color w:val="auto"/>
          <w:kern w:val="0"/>
          <w:sz w:val="24"/>
          <w:szCs w:val="30"/>
          <w:highlight w:val="none"/>
          <w:lang w:eastAsia="zh-CN"/>
        </w:rPr>
        <w:t>；</w:t>
      </w:r>
    </w:p>
    <w:p w14:paraId="508E20CA">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rPr>
        <w:t>附图5</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升压站总电气平面布置图</w:t>
      </w:r>
      <w:r>
        <w:rPr>
          <w:rFonts w:hint="default" w:ascii="Times New Roman" w:hAnsi="Times New Roman" w:eastAsia="宋体" w:cs="Times New Roman"/>
          <w:snapToGrid w:val="0"/>
          <w:color w:val="auto"/>
          <w:kern w:val="0"/>
          <w:sz w:val="24"/>
          <w:szCs w:val="30"/>
          <w:highlight w:val="none"/>
          <w:lang w:eastAsia="zh-CN"/>
        </w:rPr>
        <w:t>；</w:t>
      </w:r>
    </w:p>
    <w:p w14:paraId="3348D3FD">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rPr>
        <w:t>附图</w:t>
      </w:r>
      <w:r>
        <w:rPr>
          <w:rFonts w:hint="default" w:ascii="Times New Roman" w:hAnsi="Times New Roman" w:eastAsia="宋体" w:cs="Times New Roman"/>
          <w:snapToGrid w:val="0"/>
          <w:color w:val="auto"/>
          <w:kern w:val="0"/>
          <w:sz w:val="24"/>
          <w:szCs w:val="30"/>
          <w:highlight w:val="none"/>
          <w:lang w:val="en-US" w:eastAsia="zh-CN"/>
        </w:rPr>
        <w:t>6</w:t>
      </w:r>
      <w:r>
        <w:rPr>
          <w:rFonts w:hint="default" w:ascii="Times New Roman" w:hAnsi="Times New Roman" w:eastAsia="宋体" w:cs="Times New Roman"/>
          <w:snapToGrid w:val="0"/>
          <w:color w:val="auto"/>
          <w:kern w:val="0"/>
          <w:sz w:val="24"/>
          <w:szCs w:val="30"/>
          <w:highlight w:val="none"/>
        </w:rPr>
        <w:t>：</w:t>
      </w:r>
      <w:r>
        <w:rPr>
          <w:rFonts w:hint="default" w:ascii="Times New Roman" w:hAnsi="Times New Roman" w:eastAsia="宋体" w:cs="Times New Roman"/>
          <w:snapToGrid w:val="0"/>
          <w:color w:val="auto"/>
          <w:kern w:val="0"/>
          <w:sz w:val="24"/>
          <w:szCs w:val="30"/>
          <w:highlight w:val="none"/>
          <w:lang w:val="en-US" w:eastAsia="zh-CN"/>
        </w:rPr>
        <w:t>项目事故油池平面图；</w:t>
      </w:r>
    </w:p>
    <w:p w14:paraId="54B1F433">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val="en-US" w:eastAsia="zh-CN"/>
        </w:rPr>
        <w:t>附图7：项目现状监测布点示意图；</w:t>
      </w:r>
    </w:p>
    <w:p w14:paraId="4C01A397">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附图</w:t>
      </w:r>
      <w:r>
        <w:rPr>
          <w:rFonts w:hint="default" w:ascii="Times New Roman" w:hAnsi="Times New Roman" w:eastAsia="宋体" w:cs="Times New Roman"/>
          <w:snapToGrid w:val="0"/>
          <w:color w:val="auto"/>
          <w:kern w:val="0"/>
          <w:sz w:val="24"/>
          <w:szCs w:val="30"/>
          <w:highlight w:val="none"/>
          <w:lang w:val="en-US" w:eastAsia="zh-CN"/>
        </w:rPr>
        <w:t>8</w:t>
      </w:r>
      <w:r>
        <w:rPr>
          <w:rFonts w:hint="default" w:ascii="Times New Roman" w:hAnsi="Times New Roman" w:eastAsia="宋体" w:cs="Times New Roman"/>
          <w:snapToGrid w:val="0"/>
          <w:color w:val="auto"/>
          <w:kern w:val="0"/>
          <w:sz w:val="24"/>
          <w:szCs w:val="30"/>
          <w:highlight w:val="none"/>
          <w:lang w:eastAsia="zh-CN"/>
        </w:rPr>
        <w:t>：项目与云南省已知的鸟类迁徙通道位置关系图；</w:t>
      </w:r>
    </w:p>
    <w:p w14:paraId="2ED6F7DE">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rPr>
      </w:pPr>
      <w:r>
        <w:rPr>
          <w:rFonts w:hint="default" w:ascii="Times New Roman" w:hAnsi="Times New Roman" w:eastAsia="宋体" w:cs="Times New Roman"/>
          <w:snapToGrid w:val="0"/>
          <w:color w:val="auto"/>
          <w:kern w:val="0"/>
          <w:sz w:val="24"/>
          <w:szCs w:val="30"/>
          <w:highlight w:val="none"/>
          <w:lang w:eastAsia="zh-CN"/>
        </w:rPr>
        <w:t>附图</w:t>
      </w:r>
      <w:r>
        <w:rPr>
          <w:rFonts w:hint="default" w:ascii="Times New Roman" w:hAnsi="Times New Roman" w:eastAsia="宋体" w:cs="Times New Roman"/>
          <w:snapToGrid w:val="0"/>
          <w:color w:val="auto"/>
          <w:kern w:val="0"/>
          <w:sz w:val="24"/>
          <w:szCs w:val="30"/>
          <w:highlight w:val="none"/>
          <w:lang w:val="en-US" w:eastAsia="zh-CN"/>
        </w:rPr>
        <w:t>9</w:t>
      </w:r>
      <w:r>
        <w:rPr>
          <w:rFonts w:hint="default" w:ascii="Times New Roman" w:hAnsi="Times New Roman" w:eastAsia="宋体" w:cs="Times New Roman"/>
          <w:snapToGrid w:val="0"/>
          <w:color w:val="auto"/>
          <w:kern w:val="0"/>
          <w:sz w:val="24"/>
          <w:szCs w:val="30"/>
          <w:highlight w:val="none"/>
          <w:lang w:eastAsia="zh-CN"/>
        </w:rPr>
        <w:t>：项目与云南省生态功能区划的位置关系；</w:t>
      </w:r>
    </w:p>
    <w:p w14:paraId="311125FC">
      <w:pPr>
        <w:widowControl/>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snapToGrid w:val="0"/>
          <w:color w:val="auto"/>
          <w:kern w:val="0"/>
          <w:sz w:val="24"/>
          <w:szCs w:val="30"/>
          <w:highlight w:val="none"/>
        </w:rPr>
        <w:t>附图1</w:t>
      </w:r>
      <w:r>
        <w:rPr>
          <w:rFonts w:hint="default" w:ascii="Times New Roman" w:hAnsi="Times New Roman" w:eastAsia="宋体" w:cs="Times New Roman"/>
          <w:snapToGrid w:val="0"/>
          <w:color w:val="auto"/>
          <w:kern w:val="0"/>
          <w:sz w:val="24"/>
          <w:szCs w:val="30"/>
          <w:highlight w:val="none"/>
          <w:lang w:val="en-US" w:eastAsia="zh-CN"/>
        </w:rPr>
        <w:t>0</w:t>
      </w:r>
      <w:r>
        <w:rPr>
          <w:rFonts w:hint="default" w:ascii="Times New Roman" w:hAnsi="Times New Roman" w:eastAsia="宋体" w:cs="Times New Roman"/>
          <w:snapToGrid w:val="0"/>
          <w:color w:val="auto"/>
          <w:kern w:val="0"/>
          <w:sz w:val="24"/>
          <w:szCs w:val="30"/>
          <w:highlight w:val="none"/>
        </w:rPr>
        <w:t>：</w:t>
      </w:r>
      <w:r>
        <w:rPr>
          <w:rFonts w:hint="default" w:ascii="Times New Roman" w:hAnsi="Times New Roman" w:eastAsia="宋体" w:cs="Times New Roman"/>
          <w:snapToGrid w:val="0"/>
          <w:color w:val="auto"/>
          <w:kern w:val="0"/>
          <w:sz w:val="24"/>
          <w:szCs w:val="30"/>
          <w:highlight w:val="none"/>
          <w:lang w:eastAsia="zh-CN"/>
        </w:rPr>
        <w:t>项目与云南省主体功能区划的位置关系</w:t>
      </w:r>
      <w:r>
        <w:rPr>
          <w:rFonts w:hint="default" w:ascii="Times New Roman" w:hAnsi="Times New Roman" w:eastAsia="宋体" w:cs="Times New Roman"/>
          <w:color w:val="auto"/>
          <w:sz w:val="24"/>
          <w:highlight w:val="none"/>
          <w:lang w:eastAsia="zh-CN"/>
        </w:rPr>
        <w:t>；</w:t>
      </w:r>
    </w:p>
    <w:p w14:paraId="0BDB84D9">
      <w:pPr>
        <w:widowControl/>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附图1</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：项目与云南省生物多样性保护优先区的位置关系；</w:t>
      </w:r>
    </w:p>
    <w:p w14:paraId="4843510F">
      <w:pPr>
        <w:widowControl/>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附图12：项目与云龙水库水源保护区位置关系图；</w:t>
      </w:r>
    </w:p>
    <w:p w14:paraId="2145CA73">
      <w:pPr>
        <w:widowControl/>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附图13：</w:t>
      </w:r>
      <w:r>
        <w:rPr>
          <w:rFonts w:hint="default" w:ascii="Times New Roman" w:hAnsi="Times New Roman" w:eastAsia="宋体" w:cs="Times New Roman"/>
          <w:color w:val="auto"/>
          <w:sz w:val="24"/>
          <w:highlight w:val="none"/>
          <w:lang w:eastAsia="zh-CN"/>
        </w:rPr>
        <w:t>新建</w:t>
      </w:r>
      <w:r>
        <w:rPr>
          <w:rFonts w:hint="default" w:ascii="Times New Roman" w:hAnsi="Times New Roman" w:eastAsia="宋体" w:cs="Times New Roman"/>
          <w:color w:val="auto"/>
          <w:sz w:val="24"/>
          <w:highlight w:val="none"/>
        </w:rPr>
        <w:t>220kV线路沿线</w:t>
      </w:r>
      <w:r>
        <w:rPr>
          <w:rFonts w:hint="default" w:ascii="Times New Roman" w:hAnsi="Times New Roman" w:eastAsia="宋体" w:cs="Times New Roman"/>
          <w:color w:val="auto"/>
          <w:sz w:val="24"/>
          <w:highlight w:val="none"/>
          <w:lang w:eastAsia="zh-CN"/>
        </w:rPr>
        <w:t>生态环境评价范围内</w:t>
      </w:r>
      <w:r>
        <w:rPr>
          <w:rFonts w:hint="default" w:ascii="Times New Roman" w:hAnsi="Times New Roman" w:eastAsia="宋体" w:cs="Times New Roman"/>
          <w:color w:val="auto"/>
          <w:sz w:val="24"/>
          <w:highlight w:val="none"/>
        </w:rPr>
        <w:t>土地利用现状图</w:t>
      </w:r>
      <w:r>
        <w:rPr>
          <w:rFonts w:hint="default" w:ascii="Times New Roman" w:hAnsi="Times New Roman" w:eastAsia="宋体" w:cs="Times New Roman"/>
          <w:color w:val="auto"/>
          <w:sz w:val="24"/>
          <w:highlight w:val="none"/>
          <w:lang w:eastAsia="zh-CN"/>
        </w:rPr>
        <w:t>；</w:t>
      </w:r>
    </w:p>
    <w:p w14:paraId="0EB2CB0E">
      <w:pPr>
        <w:widowControl/>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：新建</w:t>
      </w:r>
      <w:r>
        <w:rPr>
          <w:rFonts w:hint="default" w:ascii="Times New Roman" w:hAnsi="Times New Roman" w:eastAsia="宋体" w:cs="Times New Roman"/>
          <w:color w:val="auto"/>
          <w:sz w:val="24"/>
          <w:highlight w:val="none"/>
        </w:rPr>
        <w:t>220kV线路沿线生态环境评价范围内植被现状图</w:t>
      </w:r>
      <w:r>
        <w:rPr>
          <w:rFonts w:hint="default" w:ascii="Times New Roman" w:hAnsi="Times New Roman" w:eastAsia="宋体" w:cs="Times New Roman"/>
          <w:color w:val="auto"/>
          <w:sz w:val="24"/>
          <w:highlight w:val="none"/>
          <w:lang w:val="en-US" w:eastAsia="zh-CN"/>
        </w:rPr>
        <w:t>。</w:t>
      </w:r>
    </w:p>
    <w:p w14:paraId="4F622CB2">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rPr>
      </w:pPr>
    </w:p>
    <w:p w14:paraId="1F3905B8">
      <w:pPr>
        <w:pStyle w:val="43"/>
        <w:adjustRightInd w:val="0"/>
        <w:spacing w:before="0" w:beforeAutospacing="0" w:after="0" w:afterAutospacing="0" w:line="360" w:lineRule="auto"/>
        <w:ind w:firstLine="600" w:firstLineChars="200"/>
        <w:rPr>
          <w:rFonts w:hint="default" w:ascii="Times New Roman" w:hAnsi="Times New Roman" w:eastAsia="宋体" w:cs="Times New Roman"/>
          <w:snapToGrid w:val="0"/>
          <w:color w:val="auto"/>
          <w:sz w:val="30"/>
          <w:szCs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type="lines" w:linePitch="335" w:charSpace="0"/>
        </w:sectPr>
      </w:pPr>
    </w:p>
    <w:p w14:paraId="62ECA8B2">
      <w:pPr>
        <w:pStyle w:val="43"/>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31" w:name="_Toc27513"/>
      <w:bookmarkStart w:id="32" w:name="_Toc2483"/>
      <w:bookmarkStart w:id="33" w:name="_Toc4959"/>
      <w:bookmarkStart w:id="34" w:name="_Toc4070"/>
      <w:bookmarkStart w:id="35" w:name="_Toc88128707"/>
      <w:bookmarkStart w:id="36" w:name="_Toc11342"/>
      <w:bookmarkStart w:id="37" w:name="_Toc19385"/>
      <w:bookmarkStart w:id="38" w:name="_Toc24468"/>
      <w:bookmarkStart w:id="39" w:name="_Toc3493"/>
      <w:r>
        <w:rPr>
          <w:rFonts w:hint="default" w:ascii="Times New Roman" w:hAnsi="Times New Roman" w:eastAsia="宋体" w:cs="Times New Roman"/>
          <w:b/>
          <w:bCs/>
          <w:snapToGrid w:val="0"/>
          <w:color w:val="auto"/>
          <w:sz w:val="30"/>
          <w:szCs w:val="30"/>
          <w:highlight w:val="none"/>
        </w:rPr>
        <w:t>一、建设项目基本情况</w:t>
      </w:r>
      <w:bookmarkEnd w:id="31"/>
      <w:bookmarkEnd w:id="32"/>
      <w:bookmarkEnd w:id="33"/>
      <w:bookmarkEnd w:id="34"/>
      <w:bookmarkEnd w:id="35"/>
      <w:bookmarkEnd w:id="36"/>
      <w:bookmarkEnd w:id="37"/>
      <w:bookmarkEnd w:id="38"/>
      <w:bookmarkEnd w:id="39"/>
    </w:p>
    <w:tbl>
      <w:tblPr>
        <w:tblStyle w:val="49"/>
        <w:tblW w:w="57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2547"/>
        <w:gridCol w:w="2232"/>
        <w:gridCol w:w="3049"/>
      </w:tblGrid>
      <w:tr w14:paraId="1D022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814" w:type="dxa"/>
            <w:tcMar>
              <w:top w:w="16" w:type="dxa"/>
              <w:left w:w="16" w:type="dxa"/>
              <w:right w:w="16" w:type="dxa"/>
            </w:tcMar>
            <w:vAlign w:val="center"/>
          </w:tcPr>
          <w:p w14:paraId="74383326">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744" w:type="dxa"/>
            <w:gridSpan w:val="3"/>
            <w:vAlign w:val="center"/>
          </w:tcPr>
          <w:p w14:paraId="66191DA4">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岩子头生态修复光伏电站220kV升压站</w:t>
            </w:r>
          </w:p>
        </w:tc>
      </w:tr>
      <w:tr w14:paraId="57543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814" w:type="dxa"/>
            <w:tcMar>
              <w:top w:w="16" w:type="dxa"/>
              <w:left w:w="16" w:type="dxa"/>
              <w:right w:w="16" w:type="dxa"/>
            </w:tcMar>
            <w:vAlign w:val="center"/>
          </w:tcPr>
          <w:p w14:paraId="439F5A47">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744" w:type="dxa"/>
            <w:gridSpan w:val="3"/>
            <w:vAlign w:val="center"/>
          </w:tcPr>
          <w:p w14:paraId="7BF2065B">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2202-530128-04-01-192781</w:t>
            </w:r>
          </w:p>
        </w:tc>
      </w:tr>
      <w:tr w14:paraId="5B407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14" w:type="dxa"/>
            <w:tcMar>
              <w:top w:w="16" w:type="dxa"/>
              <w:left w:w="16" w:type="dxa"/>
              <w:right w:w="16" w:type="dxa"/>
            </w:tcMar>
            <w:vAlign w:val="center"/>
          </w:tcPr>
          <w:p w14:paraId="7383651E">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520" w:type="dxa"/>
            <w:vAlign w:val="center"/>
          </w:tcPr>
          <w:p w14:paraId="464708B3">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王靖涛</w:t>
            </w:r>
          </w:p>
        </w:tc>
        <w:tc>
          <w:tcPr>
            <w:tcW w:w="2208" w:type="dxa"/>
            <w:vAlign w:val="center"/>
          </w:tcPr>
          <w:p w14:paraId="42A5640D">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3016" w:type="dxa"/>
            <w:vAlign w:val="center"/>
          </w:tcPr>
          <w:p w14:paraId="49E5E987">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15911658238</w:t>
            </w:r>
          </w:p>
        </w:tc>
      </w:tr>
      <w:tr w14:paraId="3EB02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14" w:type="dxa"/>
            <w:tcMar>
              <w:top w:w="16" w:type="dxa"/>
              <w:left w:w="16" w:type="dxa"/>
              <w:right w:w="16" w:type="dxa"/>
            </w:tcMar>
            <w:vAlign w:val="center"/>
          </w:tcPr>
          <w:p w14:paraId="7853270D">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744" w:type="dxa"/>
            <w:gridSpan w:val="3"/>
            <w:vAlign w:val="center"/>
          </w:tcPr>
          <w:p w14:paraId="56A796A1">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eastAsia="zh-CN"/>
              </w:rPr>
              <w:t>云南省昆明市禄劝县团街镇</w:t>
            </w:r>
            <w:r>
              <w:rPr>
                <w:rFonts w:hint="default" w:ascii="Times New Roman" w:hAnsi="Times New Roman" w:eastAsia="宋体" w:cs="Times New Roman"/>
                <w:color w:val="auto"/>
                <w:sz w:val="24"/>
                <w:szCs w:val="24"/>
                <w:highlight w:val="none"/>
                <w:u w:val="none"/>
                <w:lang w:val="en-US" w:eastAsia="zh-CN"/>
              </w:rPr>
              <w:t>境内</w:t>
            </w:r>
          </w:p>
        </w:tc>
      </w:tr>
      <w:tr w14:paraId="2E9EB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14" w:type="dxa"/>
            <w:tcMar>
              <w:top w:w="16" w:type="dxa"/>
              <w:left w:w="16" w:type="dxa"/>
              <w:right w:w="16" w:type="dxa"/>
            </w:tcMar>
            <w:vAlign w:val="center"/>
          </w:tcPr>
          <w:p w14:paraId="52324E2C">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744" w:type="dxa"/>
            <w:gridSpan w:val="3"/>
            <w:vAlign w:val="center"/>
          </w:tcPr>
          <w:p w14:paraId="0741DDEC">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项目中心地理位置坐标</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东经</w:t>
            </w:r>
            <w:r>
              <w:rPr>
                <w:rFonts w:hint="default" w:ascii="Times New Roman" w:hAnsi="Times New Roman" w:eastAsia="宋体" w:cs="Times New Roman"/>
                <w:color w:val="auto"/>
                <w:sz w:val="24"/>
                <w:szCs w:val="24"/>
                <w:highlight w:val="none"/>
                <w:u w:val="none"/>
              </w:rPr>
              <w:t>102°35′11.20</w:t>
            </w:r>
            <w:r>
              <w:rPr>
                <w:rFonts w:hint="default" w:ascii="Times New Roman" w:hAnsi="Times New Roman" w:eastAsia="宋体" w:cs="Times New Roman"/>
                <w:color w:val="auto"/>
                <w:sz w:val="24"/>
                <w:szCs w:val="24"/>
                <w:highlight w:val="none"/>
                <w:u w:val="none"/>
                <w:lang w:val="en-US" w:eastAsia="zh-CN"/>
              </w:rPr>
              <w:t>7</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北纬</w:t>
            </w:r>
            <w:r>
              <w:rPr>
                <w:rFonts w:hint="default" w:ascii="Times New Roman" w:hAnsi="Times New Roman" w:eastAsia="宋体" w:cs="Times New Roman"/>
                <w:color w:val="auto"/>
                <w:sz w:val="24"/>
                <w:szCs w:val="24"/>
                <w:highlight w:val="none"/>
                <w:u w:val="none"/>
              </w:rPr>
              <w:t>25°50′20.63</w:t>
            </w:r>
            <w:r>
              <w:rPr>
                <w:rFonts w:hint="default" w:ascii="Times New Roman" w:hAnsi="Times New Roman" w:eastAsia="宋体"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w:t>
            </w:r>
          </w:p>
        </w:tc>
      </w:tr>
      <w:tr w14:paraId="21F85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814" w:type="dxa"/>
            <w:tcMar>
              <w:top w:w="16" w:type="dxa"/>
              <w:left w:w="16" w:type="dxa"/>
              <w:right w:w="16" w:type="dxa"/>
            </w:tcMar>
            <w:vAlign w:val="center"/>
          </w:tcPr>
          <w:p w14:paraId="150B409F">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建设项目行业</w:t>
            </w:r>
          </w:p>
          <w:p w14:paraId="3330EC26">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类别</w:t>
            </w:r>
          </w:p>
        </w:tc>
        <w:tc>
          <w:tcPr>
            <w:tcW w:w="2520" w:type="dxa"/>
            <w:vAlign w:val="center"/>
          </w:tcPr>
          <w:p w14:paraId="573C5194">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161输变电工程</w:t>
            </w:r>
          </w:p>
        </w:tc>
        <w:tc>
          <w:tcPr>
            <w:tcW w:w="2208" w:type="dxa"/>
            <w:vAlign w:val="center"/>
          </w:tcPr>
          <w:p w14:paraId="1CAFDB07">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用地（用海）面积（m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）/长度（km）</w:t>
            </w:r>
          </w:p>
        </w:tc>
        <w:tc>
          <w:tcPr>
            <w:tcW w:w="3016" w:type="dxa"/>
            <w:vAlign w:val="center"/>
          </w:tcPr>
          <w:p w14:paraId="2D86ED08">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p>
        </w:tc>
      </w:tr>
      <w:tr w14:paraId="35C78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814" w:type="dxa"/>
            <w:tcMar>
              <w:top w:w="16" w:type="dxa"/>
              <w:left w:w="16" w:type="dxa"/>
              <w:right w:w="16" w:type="dxa"/>
            </w:tcMar>
            <w:vAlign w:val="center"/>
          </w:tcPr>
          <w:p w14:paraId="423B53E2">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520" w:type="dxa"/>
            <w:vAlign w:val="center"/>
          </w:tcPr>
          <w:p w14:paraId="22C8FB2A">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52"/>
            </w:r>
            <w:r>
              <w:rPr>
                <w:rFonts w:hint="default" w:ascii="Times New Roman" w:hAnsi="Times New Roman" w:eastAsia="宋体" w:cs="Times New Roman"/>
                <w:color w:val="auto"/>
                <w:sz w:val="24"/>
                <w:szCs w:val="24"/>
                <w:highlight w:val="none"/>
              </w:rPr>
              <w:t>新建</w:t>
            </w:r>
          </w:p>
          <w:p w14:paraId="1F8B02F6">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A3"/>
            </w:r>
            <w:r>
              <w:rPr>
                <w:rFonts w:hint="default" w:ascii="Times New Roman" w:hAnsi="Times New Roman" w:eastAsia="宋体" w:cs="Times New Roman"/>
                <w:color w:val="auto"/>
                <w:sz w:val="24"/>
                <w:szCs w:val="24"/>
                <w:highlight w:val="none"/>
              </w:rPr>
              <w:t>改建</w:t>
            </w:r>
          </w:p>
          <w:p w14:paraId="76CAC8AE">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A3"/>
            </w:r>
            <w:r>
              <w:rPr>
                <w:rFonts w:hint="default" w:ascii="Times New Roman" w:hAnsi="Times New Roman" w:eastAsia="宋体" w:cs="Times New Roman"/>
                <w:color w:val="auto"/>
                <w:sz w:val="24"/>
                <w:szCs w:val="24"/>
                <w:highlight w:val="none"/>
              </w:rPr>
              <w:t>扩建</w:t>
            </w:r>
          </w:p>
          <w:p w14:paraId="263FAB92">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A3"/>
            </w:r>
            <w:r>
              <w:rPr>
                <w:rFonts w:hint="default" w:ascii="Times New Roman" w:hAnsi="Times New Roman" w:eastAsia="宋体" w:cs="Times New Roman"/>
                <w:color w:val="auto"/>
                <w:sz w:val="24"/>
                <w:szCs w:val="24"/>
                <w:highlight w:val="none"/>
              </w:rPr>
              <w:t>技术改造</w:t>
            </w:r>
          </w:p>
        </w:tc>
        <w:tc>
          <w:tcPr>
            <w:tcW w:w="2208" w:type="dxa"/>
            <w:vAlign w:val="center"/>
          </w:tcPr>
          <w:p w14:paraId="14A6B07A">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3C4AD6F8">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016" w:type="dxa"/>
            <w:vAlign w:val="center"/>
          </w:tcPr>
          <w:p w14:paraId="148430B3">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52"/>
            </w:r>
            <w:r>
              <w:rPr>
                <w:rFonts w:hint="default" w:ascii="Times New Roman" w:hAnsi="Times New Roman" w:eastAsia="宋体" w:cs="Times New Roman"/>
                <w:color w:val="auto"/>
                <w:sz w:val="24"/>
                <w:szCs w:val="24"/>
                <w:highlight w:val="none"/>
              </w:rPr>
              <w:t>首次申报项目</w:t>
            </w:r>
          </w:p>
          <w:p w14:paraId="769F53E2">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A3"/>
            </w:r>
            <w:r>
              <w:rPr>
                <w:rFonts w:hint="default" w:ascii="Times New Roman" w:hAnsi="Times New Roman" w:eastAsia="宋体" w:cs="Times New Roman"/>
                <w:color w:val="auto"/>
                <w:sz w:val="24"/>
                <w:szCs w:val="24"/>
                <w:highlight w:val="none"/>
              </w:rPr>
              <w:t>不予批准后再次申报项目</w:t>
            </w:r>
          </w:p>
          <w:p w14:paraId="1410586C">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A3"/>
            </w:r>
            <w:r>
              <w:rPr>
                <w:rFonts w:hint="default" w:ascii="Times New Roman" w:hAnsi="Times New Roman" w:eastAsia="宋体" w:cs="Times New Roman"/>
                <w:color w:val="auto"/>
                <w:sz w:val="24"/>
                <w:szCs w:val="24"/>
                <w:highlight w:val="none"/>
              </w:rPr>
              <w:t>超五年重新审核项目</w:t>
            </w:r>
          </w:p>
          <w:p w14:paraId="2F58F859">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F0A3"/>
            </w:r>
            <w:r>
              <w:rPr>
                <w:rFonts w:hint="default" w:ascii="Times New Roman" w:hAnsi="Times New Roman" w:eastAsia="宋体" w:cs="Times New Roman"/>
                <w:color w:val="auto"/>
                <w:sz w:val="24"/>
                <w:szCs w:val="24"/>
                <w:highlight w:val="none"/>
              </w:rPr>
              <w:t>重大变动重新报批项目</w:t>
            </w:r>
          </w:p>
        </w:tc>
      </w:tr>
      <w:tr w14:paraId="5DB1B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814" w:type="dxa"/>
            <w:tcMar>
              <w:top w:w="16" w:type="dxa"/>
              <w:left w:w="16" w:type="dxa"/>
              <w:right w:w="16" w:type="dxa"/>
            </w:tcMar>
            <w:vAlign w:val="center"/>
          </w:tcPr>
          <w:p w14:paraId="167F6E5D">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w:t>
            </w:r>
          </w:p>
        </w:tc>
        <w:tc>
          <w:tcPr>
            <w:tcW w:w="2520" w:type="dxa"/>
            <w:vAlign w:val="center"/>
          </w:tcPr>
          <w:p w14:paraId="17D37CE2">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禄劝彝族苗族自治县发展和改革局</w:t>
            </w:r>
          </w:p>
        </w:tc>
        <w:tc>
          <w:tcPr>
            <w:tcW w:w="2208" w:type="dxa"/>
            <w:vAlign w:val="center"/>
          </w:tcPr>
          <w:p w14:paraId="0A437794">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w:t>
            </w:r>
          </w:p>
        </w:tc>
        <w:tc>
          <w:tcPr>
            <w:tcW w:w="3016" w:type="dxa"/>
            <w:vAlign w:val="center"/>
          </w:tcPr>
          <w:p w14:paraId="314DBDE0">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备案号：</w:t>
            </w:r>
            <w:r>
              <w:rPr>
                <w:rFonts w:hint="default" w:ascii="Times New Roman" w:hAnsi="Times New Roman" w:eastAsia="宋体" w:cs="Times New Roman"/>
                <w:color w:val="auto"/>
                <w:sz w:val="24"/>
                <w:szCs w:val="24"/>
                <w:highlight w:val="none"/>
              </w:rPr>
              <w:t>2202-530128-04-01-192781</w:t>
            </w:r>
          </w:p>
        </w:tc>
      </w:tr>
      <w:tr w14:paraId="7FCD3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14" w:type="dxa"/>
            <w:tcMar>
              <w:top w:w="16" w:type="dxa"/>
              <w:left w:w="16" w:type="dxa"/>
              <w:right w:w="16" w:type="dxa"/>
            </w:tcMar>
            <w:vAlign w:val="center"/>
          </w:tcPr>
          <w:p w14:paraId="4DD29559">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520" w:type="dxa"/>
            <w:vAlign w:val="center"/>
          </w:tcPr>
          <w:p w14:paraId="5171D2C6">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1379</w:t>
            </w:r>
            <w:r>
              <w:rPr>
                <w:rFonts w:hint="eastAsia" w:cs="Times New Roman"/>
                <w:color w:val="auto"/>
                <w:sz w:val="24"/>
                <w:szCs w:val="24"/>
                <w:highlight w:val="none"/>
                <w:lang w:val="en-US" w:eastAsia="zh-CN"/>
              </w:rPr>
              <w:t>.00</w:t>
            </w:r>
          </w:p>
        </w:tc>
        <w:tc>
          <w:tcPr>
            <w:tcW w:w="2208" w:type="dxa"/>
            <w:tcMar>
              <w:top w:w="16" w:type="dxa"/>
              <w:left w:w="16" w:type="dxa"/>
              <w:right w:w="16" w:type="dxa"/>
            </w:tcMar>
            <w:vAlign w:val="center"/>
          </w:tcPr>
          <w:p w14:paraId="329165E2">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016" w:type="dxa"/>
            <w:vAlign w:val="center"/>
          </w:tcPr>
          <w:p w14:paraId="42F5EBF4">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52.5</w:t>
            </w:r>
          </w:p>
        </w:tc>
      </w:tr>
      <w:tr w14:paraId="7458F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814" w:type="dxa"/>
            <w:tcMar>
              <w:top w:w="16" w:type="dxa"/>
              <w:left w:w="16" w:type="dxa"/>
              <w:right w:w="16" w:type="dxa"/>
            </w:tcMar>
            <w:vAlign w:val="center"/>
          </w:tcPr>
          <w:p w14:paraId="44780A66">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520" w:type="dxa"/>
            <w:vAlign w:val="center"/>
          </w:tcPr>
          <w:p w14:paraId="0B128D82">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3.81</w:t>
            </w:r>
          </w:p>
        </w:tc>
        <w:tc>
          <w:tcPr>
            <w:tcW w:w="2208" w:type="dxa"/>
            <w:tcMar>
              <w:top w:w="16" w:type="dxa"/>
              <w:left w:w="16" w:type="dxa"/>
              <w:right w:w="16" w:type="dxa"/>
            </w:tcMar>
            <w:vAlign w:val="center"/>
          </w:tcPr>
          <w:p w14:paraId="50C205CD">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016" w:type="dxa"/>
            <w:vAlign w:val="center"/>
          </w:tcPr>
          <w:p w14:paraId="7F8CAB4F">
            <w:pPr>
              <w:keepNext w:val="0"/>
              <w:keepLines w:val="0"/>
              <w:pageBreakBefore w:val="0"/>
              <w:widowControl w:val="0"/>
              <w:kinsoku/>
              <w:wordWrap/>
              <w:overflowPunct/>
              <w:topLinePunct w:val="0"/>
              <w:autoSpaceDE/>
              <w:autoSpaceDN/>
              <w:bidi w:val="0"/>
              <w:adjustRightInd w:val="0"/>
              <w:snapToGrid/>
              <w:spacing w:line="30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个月</w:t>
            </w:r>
          </w:p>
        </w:tc>
      </w:tr>
      <w:tr w14:paraId="3BDA1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814" w:type="dxa"/>
            <w:tcMar>
              <w:top w:w="16" w:type="dxa"/>
              <w:left w:w="16" w:type="dxa"/>
              <w:right w:w="16" w:type="dxa"/>
            </w:tcMar>
            <w:vAlign w:val="center"/>
          </w:tcPr>
          <w:p w14:paraId="22638836">
            <w:pPr>
              <w:adjustRightIn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7744" w:type="dxa"/>
            <w:gridSpan w:val="3"/>
            <w:vAlign w:val="center"/>
          </w:tcPr>
          <w:p w14:paraId="028484E3">
            <w:pPr>
              <w:adjustRightIn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否</w:t>
            </w:r>
          </w:p>
          <w:p w14:paraId="6A7BDC00">
            <w:pPr>
              <w:keepNext w:val="0"/>
              <w:keepLines w:val="0"/>
              <w:pageBreakBefore w:val="0"/>
              <w:widowControl w:val="0"/>
              <w:kinsoku/>
              <w:wordWrap/>
              <w:overflowPunct/>
              <w:topLinePunct w:val="0"/>
              <w:autoSpaceDE/>
              <w:autoSpaceDN/>
              <w:bidi w:val="0"/>
              <w:adjustRightInd w:val="0"/>
              <w:snapToGrid/>
              <w:spacing w:line="324" w:lineRule="auto"/>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highlight w:val="none"/>
                <w:u w:val="single"/>
              </w:rPr>
              <w:t>本项目220kV升压站属于</w:t>
            </w:r>
            <w:r>
              <w:rPr>
                <w:rFonts w:hint="default" w:ascii="Times New Roman" w:hAnsi="Times New Roman" w:eastAsia="宋体" w:cs="Times New Roman"/>
                <w:color w:val="auto"/>
                <w:sz w:val="24"/>
                <w:szCs w:val="24"/>
                <w:highlight w:val="none"/>
                <w:u w:val="single"/>
                <w:lang w:eastAsia="zh-CN"/>
              </w:rPr>
              <w:t>中清能禄劝县岩子头200MW生态修复光伏电站项目</w:t>
            </w:r>
            <w:r>
              <w:rPr>
                <w:rFonts w:hint="default" w:ascii="Times New Roman" w:hAnsi="Times New Roman" w:eastAsia="宋体" w:cs="Times New Roman"/>
                <w:color w:val="auto"/>
                <w:sz w:val="24"/>
                <w:highlight w:val="none"/>
                <w:u w:val="single"/>
              </w:rPr>
              <w:t>的配套</w:t>
            </w:r>
            <w:r>
              <w:rPr>
                <w:rFonts w:hint="default" w:ascii="Times New Roman" w:hAnsi="Times New Roman" w:eastAsia="宋体" w:cs="Times New Roman"/>
                <w:color w:val="auto"/>
                <w:sz w:val="24"/>
                <w:highlight w:val="none"/>
                <w:u w:val="single"/>
                <w:lang w:val="en-US" w:eastAsia="zh-CN"/>
              </w:rPr>
              <w:t>升压站，</w:t>
            </w:r>
            <w:r>
              <w:rPr>
                <w:rFonts w:hint="default" w:ascii="Times New Roman" w:hAnsi="Times New Roman" w:eastAsia="宋体" w:cs="Times New Roman"/>
                <w:color w:val="auto"/>
                <w:sz w:val="24"/>
                <w:szCs w:val="24"/>
                <w:highlight w:val="none"/>
                <w:u w:val="single"/>
                <w:lang w:val="en-US" w:eastAsia="zh-CN"/>
              </w:rPr>
              <w:t>220kV</w:t>
            </w:r>
            <w:r>
              <w:rPr>
                <w:rFonts w:hint="default" w:ascii="Times New Roman" w:hAnsi="Times New Roman" w:eastAsia="宋体" w:cs="Times New Roman"/>
                <w:color w:val="auto"/>
                <w:sz w:val="24"/>
                <w:szCs w:val="24"/>
                <w:highlight w:val="none"/>
                <w:u w:val="single"/>
              </w:rPr>
              <w:t>升压站土建</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主体</w:t>
            </w:r>
            <w:r>
              <w:rPr>
                <w:rFonts w:hint="default" w:ascii="Times New Roman" w:hAnsi="Times New Roman" w:eastAsia="宋体" w:cs="Times New Roman"/>
                <w:color w:val="auto"/>
                <w:sz w:val="24"/>
                <w:szCs w:val="24"/>
                <w:highlight w:val="none"/>
                <w:u w:val="single"/>
              </w:rPr>
              <w:t>工程及</w:t>
            </w:r>
            <w:r>
              <w:rPr>
                <w:rFonts w:hint="default" w:ascii="Times New Roman" w:hAnsi="Times New Roman" w:eastAsia="宋体" w:cs="Times New Roman"/>
                <w:color w:val="auto"/>
                <w:sz w:val="24"/>
                <w:szCs w:val="24"/>
                <w:highlight w:val="none"/>
                <w:u w:val="single"/>
                <w:lang w:val="en-US" w:eastAsia="zh-CN"/>
              </w:rPr>
              <w:t>相关</w:t>
            </w:r>
            <w:r>
              <w:rPr>
                <w:rFonts w:hint="default" w:ascii="Times New Roman" w:hAnsi="Times New Roman" w:eastAsia="宋体" w:cs="Times New Roman"/>
                <w:color w:val="auto"/>
                <w:sz w:val="24"/>
                <w:szCs w:val="24"/>
                <w:highlight w:val="none"/>
                <w:u w:val="single"/>
                <w:lang w:eastAsia="zh-CN"/>
              </w:rPr>
              <w:t>配套工程</w:t>
            </w:r>
            <w:r>
              <w:rPr>
                <w:rFonts w:hint="default" w:ascii="Times New Roman" w:hAnsi="Times New Roman" w:eastAsia="宋体" w:cs="Times New Roman"/>
                <w:color w:val="auto"/>
                <w:sz w:val="24"/>
                <w:szCs w:val="24"/>
                <w:highlight w:val="none"/>
                <w:u w:val="single"/>
                <w:lang w:val="en-US" w:eastAsia="zh-CN"/>
              </w:rPr>
              <w:t>等内容已在</w:t>
            </w:r>
            <w:r>
              <w:rPr>
                <w:rFonts w:hint="default" w:ascii="Times New Roman" w:hAnsi="Times New Roman" w:eastAsia="宋体" w:cs="Times New Roman"/>
                <w:color w:val="auto"/>
                <w:kern w:val="0"/>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rPr>
              <w:t>中清能禄劝县岩子头200MW生态修复光伏电站项目</w:t>
            </w:r>
            <w:r>
              <w:rPr>
                <w:rFonts w:hint="default" w:ascii="Times New Roman" w:hAnsi="Times New Roman" w:eastAsia="宋体" w:cs="Times New Roman"/>
                <w:color w:val="auto"/>
                <w:sz w:val="24"/>
                <w:szCs w:val="24"/>
                <w:highlight w:val="none"/>
                <w:u w:val="single"/>
                <w:lang w:val="en-US" w:eastAsia="zh-CN"/>
              </w:rPr>
              <w:t>环境影响报告表</w:t>
            </w:r>
            <w:r>
              <w:rPr>
                <w:rFonts w:hint="default" w:ascii="Times New Roman" w:hAnsi="Times New Roman" w:eastAsia="宋体" w:cs="Times New Roman"/>
                <w:color w:val="auto"/>
                <w:kern w:val="0"/>
                <w:sz w:val="24"/>
                <w:szCs w:val="24"/>
                <w:highlight w:val="none"/>
                <w:u w:val="single"/>
                <w:lang w:val="en-US" w:eastAsia="zh-CN"/>
              </w:rPr>
              <w:t>》中进行评价，</w:t>
            </w:r>
            <w:r>
              <w:rPr>
                <w:rFonts w:hint="default" w:ascii="Times New Roman" w:hAnsi="Times New Roman" w:eastAsia="宋体" w:cs="Times New Roman"/>
                <w:color w:val="auto"/>
                <w:sz w:val="24"/>
                <w:szCs w:val="22"/>
                <w:highlight w:val="none"/>
                <w:u w:val="single"/>
                <w:lang w:val="en-US" w:eastAsia="zh-CN"/>
              </w:rPr>
              <w:t>本项目</w:t>
            </w:r>
            <w:r>
              <w:rPr>
                <w:rFonts w:hint="default" w:ascii="Times New Roman" w:hAnsi="Times New Roman" w:eastAsia="宋体" w:cs="Times New Roman"/>
                <w:color w:val="auto"/>
                <w:sz w:val="24"/>
                <w:szCs w:val="22"/>
                <w:highlight w:val="none"/>
                <w:u w:val="single"/>
              </w:rPr>
              <w:t>升压站建设施工期</w:t>
            </w:r>
            <w:r>
              <w:rPr>
                <w:rFonts w:hint="default" w:ascii="Times New Roman" w:hAnsi="Times New Roman" w:eastAsia="宋体" w:cs="Times New Roman"/>
                <w:color w:val="auto"/>
                <w:sz w:val="24"/>
                <w:szCs w:val="22"/>
                <w:highlight w:val="none"/>
                <w:u w:val="single"/>
                <w:lang w:val="en-US" w:eastAsia="zh-CN"/>
              </w:rPr>
              <w:t>及运营期</w:t>
            </w:r>
            <w:r>
              <w:rPr>
                <w:rFonts w:hint="default" w:ascii="Times New Roman" w:hAnsi="Times New Roman" w:eastAsia="宋体" w:cs="Times New Roman"/>
                <w:color w:val="auto"/>
                <w:sz w:val="24"/>
                <w:szCs w:val="22"/>
                <w:highlight w:val="none"/>
                <w:u w:val="single"/>
              </w:rPr>
              <w:t>的废水、废气、噪声、固体废物、生态环境影响及环境风险的</w:t>
            </w:r>
            <w:r>
              <w:rPr>
                <w:rFonts w:hint="default" w:ascii="Times New Roman" w:hAnsi="Times New Roman" w:eastAsia="宋体" w:cs="Times New Roman"/>
                <w:color w:val="auto"/>
                <w:sz w:val="24"/>
                <w:szCs w:val="22"/>
                <w:highlight w:val="none"/>
                <w:u w:val="single"/>
                <w:lang w:val="en-US" w:eastAsia="zh-CN"/>
              </w:rPr>
              <w:t>相关影响分析及</w:t>
            </w:r>
            <w:r>
              <w:rPr>
                <w:rFonts w:hint="default" w:ascii="Times New Roman" w:hAnsi="Times New Roman" w:eastAsia="宋体" w:cs="Times New Roman"/>
                <w:color w:val="auto"/>
                <w:sz w:val="24"/>
                <w:szCs w:val="22"/>
                <w:highlight w:val="none"/>
                <w:u w:val="single"/>
              </w:rPr>
              <w:t>治理措施已在《</w:t>
            </w:r>
            <w:r>
              <w:rPr>
                <w:rFonts w:hint="default" w:ascii="Times New Roman" w:hAnsi="Times New Roman" w:eastAsia="宋体" w:cs="Times New Roman"/>
                <w:color w:val="auto"/>
                <w:sz w:val="24"/>
                <w:szCs w:val="24"/>
                <w:highlight w:val="none"/>
                <w:u w:val="single"/>
                <w:lang w:eastAsia="zh-CN"/>
              </w:rPr>
              <w:t>中清能禄劝县岩子头200MW生态修复光伏电站项目</w:t>
            </w:r>
            <w:r>
              <w:rPr>
                <w:rFonts w:hint="default" w:ascii="Times New Roman" w:hAnsi="Times New Roman" w:eastAsia="宋体" w:cs="Times New Roman"/>
                <w:color w:val="auto"/>
                <w:sz w:val="24"/>
                <w:szCs w:val="22"/>
                <w:highlight w:val="none"/>
                <w:u w:val="single"/>
              </w:rPr>
              <w:t>环境影响报告表》中进行阐述分析，</w:t>
            </w:r>
            <w:r>
              <w:rPr>
                <w:rFonts w:hint="default" w:ascii="Times New Roman" w:hAnsi="Times New Roman" w:eastAsia="宋体" w:cs="Times New Roman"/>
                <w:color w:val="auto"/>
                <w:sz w:val="24"/>
                <w:szCs w:val="22"/>
                <w:highlight w:val="none"/>
                <w:u w:val="single"/>
                <w:lang w:val="en-US" w:eastAsia="zh-CN"/>
              </w:rPr>
              <w:t>且根据现场调查，升压站在取得环评批复后已于2023年11月开工建设，建设完工后于2024年6月投入试运行。目前，</w:t>
            </w:r>
            <w:r>
              <w:rPr>
                <w:rFonts w:hint="default" w:ascii="Times New Roman" w:hAnsi="Times New Roman" w:eastAsia="宋体" w:cs="Times New Roman"/>
                <w:color w:val="auto"/>
                <w:sz w:val="24"/>
                <w:szCs w:val="24"/>
                <w:highlight w:val="none"/>
                <w:u w:val="single"/>
              </w:rPr>
              <w:t>中清能禄劝县岩子头200MW生态修复光伏电站项目</w:t>
            </w:r>
            <w:r>
              <w:rPr>
                <w:rFonts w:hint="default" w:ascii="Times New Roman" w:hAnsi="Times New Roman" w:eastAsia="宋体" w:cs="Times New Roman"/>
                <w:color w:val="auto"/>
                <w:sz w:val="24"/>
                <w:szCs w:val="24"/>
                <w:highlight w:val="none"/>
                <w:u w:val="single"/>
                <w:lang w:val="en-US" w:eastAsia="zh-CN"/>
              </w:rPr>
              <w:t xml:space="preserve">正在开展竣工环境保护验收工作。                                                           </w:t>
            </w:r>
          </w:p>
        </w:tc>
      </w:tr>
      <w:tr w14:paraId="744F5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14" w:type="dxa"/>
            <w:tcMar>
              <w:top w:w="16" w:type="dxa"/>
              <w:left w:w="16" w:type="dxa"/>
              <w:right w:w="16" w:type="dxa"/>
            </w:tcMar>
            <w:vAlign w:val="center"/>
          </w:tcPr>
          <w:p w14:paraId="1D31DC20">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专项评价设置情况</w:t>
            </w:r>
          </w:p>
        </w:tc>
        <w:tc>
          <w:tcPr>
            <w:tcW w:w="7744" w:type="dxa"/>
            <w:gridSpan w:val="3"/>
            <w:tcMar>
              <w:top w:w="0" w:type="dxa"/>
              <w:left w:w="108" w:type="dxa"/>
              <w:right w:w="108" w:type="dxa"/>
            </w:tcMar>
            <w:vAlign w:val="center"/>
          </w:tcPr>
          <w:p w14:paraId="77803F76">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1、电磁环境影响专题评价</w:t>
            </w:r>
          </w:p>
          <w:p w14:paraId="5035FD7C">
            <w:pPr>
              <w:keepNext w:val="0"/>
              <w:keepLines w:val="0"/>
              <w:pageBreakBefore w:val="0"/>
              <w:widowControl w:val="0"/>
              <w:kinsoku/>
              <w:wordWrap/>
              <w:overflowPunct/>
              <w:topLinePunct w:val="0"/>
              <w:autoSpaceDE w:val="0"/>
              <w:autoSpaceDN w:val="0"/>
              <w:bidi w:val="0"/>
              <w:adjustRightInd/>
              <w:snapToGrid/>
              <w:spacing w:line="336"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根据《环境影响评价技术导则</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输变电》（HJ24-2020），</w:t>
            </w:r>
            <w:r>
              <w:rPr>
                <w:rFonts w:hint="default" w:ascii="Times New Roman" w:hAnsi="Times New Roman" w:eastAsia="宋体" w:cs="Times New Roman"/>
                <w:color w:val="auto"/>
                <w:kern w:val="0"/>
                <w:sz w:val="24"/>
                <w:szCs w:val="24"/>
                <w:highlight w:val="none"/>
                <w:lang w:val="en-US" w:eastAsia="zh-CN"/>
              </w:rPr>
              <w:t>22</w:t>
            </w:r>
            <w:r>
              <w:rPr>
                <w:rFonts w:hint="default" w:ascii="Times New Roman" w:hAnsi="Times New Roman" w:eastAsia="宋体" w:cs="Times New Roman"/>
                <w:color w:val="auto"/>
                <w:kern w:val="0"/>
                <w:sz w:val="24"/>
                <w:szCs w:val="24"/>
                <w:highlight w:val="none"/>
              </w:rPr>
              <w:t>0kV交流输电线路应设电磁环境影响专题评价。</w:t>
            </w:r>
          </w:p>
          <w:p w14:paraId="6583844E">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2、生态环境影响专项评价</w:t>
            </w:r>
          </w:p>
          <w:p w14:paraId="35B222C1">
            <w:pPr>
              <w:keepNext w:val="0"/>
              <w:keepLines w:val="0"/>
              <w:pageBreakBefore w:val="0"/>
              <w:widowControl w:val="0"/>
              <w:kinsoku/>
              <w:wordWrap/>
              <w:overflowPunct/>
              <w:topLinePunct w:val="0"/>
              <w:bidi w:val="0"/>
              <w:adjustRightInd/>
              <w:snapToGrid/>
              <w:spacing w:line="336" w:lineRule="auto"/>
              <w:ind w:firstLine="42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kern w:val="0"/>
                <w:sz w:val="24"/>
                <w:szCs w:val="24"/>
                <w:highlight w:val="none"/>
              </w:rPr>
              <w:t>根据《建设项目环境影响报告表编制技术指南（生态影响类）》（试行），</w:t>
            </w:r>
            <w:r>
              <w:rPr>
                <w:rFonts w:hint="default" w:ascii="Times New Roman" w:hAnsi="Times New Roman" w:eastAsia="宋体" w:cs="Times New Roman"/>
                <w:color w:val="auto"/>
                <w:kern w:val="0"/>
                <w:sz w:val="24"/>
                <w:szCs w:val="24"/>
                <w:highlight w:val="none"/>
                <w:lang w:val="en-US" w:eastAsia="zh-CN"/>
              </w:rPr>
              <w:t>本项目专题设置情况分析如下：</w:t>
            </w:r>
          </w:p>
          <w:p w14:paraId="405D265F">
            <w:pPr>
              <w:keepNext w:val="0"/>
              <w:keepLines w:val="0"/>
              <w:pageBreakBefore w:val="0"/>
              <w:widowControl w:val="0"/>
              <w:kinsoku/>
              <w:wordWrap/>
              <w:overflowPunct/>
              <w:topLinePunct w:val="0"/>
              <w:bidi w:val="0"/>
              <w:adjustRightInd/>
              <w:snapToGrid/>
              <w:spacing w:line="240" w:lineRule="auto"/>
              <w:ind w:firstLine="42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表1-1</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本项目专</w:t>
            </w:r>
            <w:r>
              <w:rPr>
                <w:rFonts w:hint="default" w:ascii="Times New Roman" w:hAnsi="Times New Roman" w:eastAsia="宋体" w:cs="Times New Roman"/>
                <w:b/>
                <w:bCs/>
                <w:color w:val="auto"/>
                <w:sz w:val="24"/>
                <w:szCs w:val="24"/>
                <w:highlight w:val="none"/>
                <w:lang w:val="en-US" w:eastAsia="zh-CN"/>
              </w:rPr>
              <w:t>题</w:t>
            </w:r>
            <w:r>
              <w:rPr>
                <w:rFonts w:hint="default" w:ascii="Times New Roman" w:hAnsi="Times New Roman" w:eastAsia="宋体" w:cs="Times New Roman"/>
                <w:b/>
                <w:bCs/>
                <w:color w:val="auto"/>
                <w:sz w:val="24"/>
                <w:szCs w:val="24"/>
                <w:highlight w:val="none"/>
              </w:rPr>
              <w:t>设置判定情况表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4485"/>
              <w:gridCol w:w="1870"/>
              <w:gridCol w:w="655"/>
            </w:tblGrid>
            <w:tr w14:paraId="5703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114C58B9">
                  <w:pPr>
                    <w:keepNext w:val="0"/>
                    <w:keepLines w:val="0"/>
                    <w:pageBreakBefore w:val="0"/>
                    <w:widowControl w:val="0"/>
                    <w:kinsoku/>
                    <w:wordWrap/>
                    <w:overflowPunct/>
                    <w:topLinePunct w:val="0"/>
                    <w:autoSpaceDE w:val="0"/>
                    <w:autoSpaceDN w:val="0"/>
                    <w:bidi w:val="0"/>
                    <w:adjustRightInd/>
                    <w:snapToGrid/>
                    <w:spacing w:line="288"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专项类别</w:t>
                  </w:r>
                </w:p>
              </w:tc>
              <w:tc>
                <w:tcPr>
                  <w:tcW w:w="2951" w:type="pct"/>
                  <w:vAlign w:val="center"/>
                </w:tcPr>
                <w:p w14:paraId="142836B4">
                  <w:pPr>
                    <w:keepNext w:val="0"/>
                    <w:keepLines w:val="0"/>
                    <w:pageBreakBefore w:val="0"/>
                    <w:widowControl/>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设置原则</w:t>
                  </w:r>
                </w:p>
              </w:tc>
              <w:tc>
                <w:tcPr>
                  <w:tcW w:w="1230" w:type="pct"/>
                  <w:vAlign w:val="center"/>
                </w:tcPr>
                <w:p w14:paraId="71D25A2D">
                  <w:pPr>
                    <w:keepNext w:val="0"/>
                    <w:keepLines w:val="0"/>
                    <w:pageBreakBefore w:val="0"/>
                    <w:widowControl/>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本项目情况</w:t>
                  </w:r>
                </w:p>
              </w:tc>
              <w:tc>
                <w:tcPr>
                  <w:tcW w:w="430" w:type="pct"/>
                  <w:vAlign w:val="center"/>
                </w:tcPr>
                <w:p w14:paraId="5915FCD8">
                  <w:pPr>
                    <w:keepNext w:val="0"/>
                    <w:keepLines w:val="0"/>
                    <w:pageBreakBefore w:val="0"/>
                    <w:widowControl/>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是否设置专项</w:t>
                  </w:r>
                </w:p>
              </w:tc>
            </w:tr>
            <w:tr w14:paraId="2364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0394B9E">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p>
                <w:p w14:paraId="47D891C0">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p>
                <w:p w14:paraId="429D15F5">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地表水</w:t>
                  </w:r>
                </w:p>
              </w:tc>
              <w:tc>
                <w:tcPr>
                  <w:tcW w:w="2951" w:type="pct"/>
                  <w:vAlign w:val="center"/>
                </w:tcPr>
                <w:p w14:paraId="33E19F6C">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水力发电：引水式发电、涉及调峰发电的项目；</w:t>
                  </w:r>
                </w:p>
                <w:p w14:paraId="17A7A01E">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人工湖、人工湿地：全部；</w:t>
                  </w:r>
                </w:p>
                <w:p w14:paraId="03CF4DC7">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水库：全部；</w:t>
                  </w:r>
                </w:p>
                <w:p w14:paraId="720BB9AB">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引水工程：全部（配套的管线工程等除外）；</w:t>
                  </w:r>
                </w:p>
                <w:p w14:paraId="6637CD13">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防洪除涝工程：包含水库的项目；</w:t>
                  </w:r>
                </w:p>
                <w:p w14:paraId="3ACF3430">
                  <w:pPr>
                    <w:keepNext w:val="0"/>
                    <w:keepLines w:val="0"/>
                    <w:pageBreakBefore w:val="0"/>
                    <w:widowControl/>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河湖整治：涉及清淤且底泥存在重金属污染的项目</w:t>
                  </w:r>
                </w:p>
              </w:tc>
              <w:tc>
                <w:tcPr>
                  <w:tcW w:w="1230" w:type="pct"/>
                  <w:vAlign w:val="center"/>
                </w:tcPr>
                <w:p w14:paraId="69B65BAD">
                  <w:pPr>
                    <w:pStyle w:val="22"/>
                    <w:keepNext w:val="0"/>
                    <w:keepLines w:val="0"/>
                    <w:pageBreakBefore w:val="0"/>
                    <w:widowControl w:val="0"/>
                    <w:kinsoku/>
                    <w:wordWrap/>
                    <w:overflowPunct/>
                    <w:topLinePunct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p>
                <w:p w14:paraId="75DD7245">
                  <w:pPr>
                    <w:pStyle w:val="22"/>
                    <w:keepNext w:val="0"/>
                    <w:keepLines w:val="0"/>
                    <w:pageBreakBefore w:val="0"/>
                    <w:widowControl w:val="0"/>
                    <w:kinsoku/>
                    <w:wordWrap/>
                    <w:overflowPunct/>
                    <w:topLinePunct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p>
                <w:p w14:paraId="6D06B24D">
                  <w:pPr>
                    <w:pStyle w:val="22"/>
                    <w:keepNext w:val="0"/>
                    <w:keepLines w:val="0"/>
                    <w:pageBreakBefore w:val="0"/>
                    <w:widowControl w:val="0"/>
                    <w:kinsoku/>
                    <w:wordWrap/>
                    <w:overflowPunct/>
                    <w:topLinePunct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本项目</w:t>
                  </w:r>
                  <w:r>
                    <w:rPr>
                      <w:rFonts w:hint="default" w:ascii="Times New Roman" w:hAnsi="Times New Roman" w:eastAsia="宋体" w:cs="Times New Roman"/>
                      <w:b w:val="0"/>
                      <w:bCs w:val="0"/>
                      <w:color w:val="auto"/>
                      <w:kern w:val="0"/>
                      <w:sz w:val="21"/>
                      <w:szCs w:val="21"/>
                      <w:highlight w:val="none"/>
                      <w:lang w:val="en-US" w:eastAsia="zh-CN"/>
                    </w:rPr>
                    <w:t>不涉及。</w:t>
                  </w:r>
                </w:p>
              </w:tc>
              <w:tc>
                <w:tcPr>
                  <w:tcW w:w="430" w:type="pct"/>
                  <w:vAlign w:val="center"/>
                </w:tcPr>
                <w:p w14:paraId="71F2F539">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否</w:t>
                  </w:r>
                </w:p>
              </w:tc>
            </w:tr>
            <w:tr w14:paraId="716A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6EE2BDCB">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地下水</w:t>
                  </w:r>
                </w:p>
              </w:tc>
              <w:tc>
                <w:tcPr>
                  <w:tcW w:w="2951" w:type="pct"/>
                  <w:vAlign w:val="center"/>
                </w:tcPr>
                <w:p w14:paraId="47622028">
                  <w:pPr>
                    <w:keepNext w:val="0"/>
                    <w:keepLines w:val="0"/>
                    <w:pageBreakBefore w:val="0"/>
                    <w:widowControl/>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陆地石油和天然气开采：全部；</w:t>
                  </w:r>
                </w:p>
                <w:p w14:paraId="50DF55EE">
                  <w:pPr>
                    <w:keepNext w:val="0"/>
                    <w:keepLines w:val="0"/>
                    <w:pageBreakBefore w:val="0"/>
                    <w:widowControl/>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地下水（含矿泉水）开采：全部；</w:t>
                  </w:r>
                </w:p>
                <w:p w14:paraId="25F9217D">
                  <w:pPr>
                    <w:keepNext w:val="0"/>
                    <w:keepLines w:val="0"/>
                    <w:pageBreakBefore w:val="0"/>
                    <w:widowControl/>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水利、水电、交通等：含穿越可溶岩地层隧道的项目</w:t>
                  </w:r>
                </w:p>
              </w:tc>
              <w:tc>
                <w:tcPr>
                  <w:tcW w:w="1230" w:type="pct"/>
                  <w:vAlign w:val="center"/>
                </w:tcPr>
                <w:p w14:paraId="112788FF">
                  <w:pPr>
                    <w:keepNext w:val="0"/>
                    <w:keepLines w:val="0"/>
                    <w:pageBreakBefore w:val="0"/>
                    <w:widowControl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本项目</w:t>
                  </w:r>
                  <w:r>
                    <w:rPr>
                      <w:rFonts w:hint="default" w:ascii="Times New Roman" w:hAnsi="Times New Roman" w:eastAsia="宋体" w:cs="Times New Roman"/>
                      <w:b w:val="0"/>
                      <w:bCs w:val="0"/>
                      <w:color w:val="auto"/>
                      <w:kern w:val="0"/>
                      <w:sz w:val="21"/>
                      <w:szCs w:val="21"/>
                      <w:highlight w:val="none"/>
                      <w:lang w:val="en-US" w:eastAsia="zh-CN"/>
                    </w:rPr>
                    <w:t>不涉及。</w:t>
                  </w:r>
                </w:p>
              </w:tc>
              <w:tc>
                <w:tcPr>
                  <w:tcW w:w="430" w:type="pct"/>
                  <w:vAlign w:val="center"/>
                </w:tcPr>
                <w:p w14:paraId="58BED6DA">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否</w:t>
                  </w:r>
                </w:p>
              </w:tc>
            </w:tr>
            <w:tr w14:paraId="5EAE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6AEE246F">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生态</w:t>
                  </w:r>
                </w:p>
              </w:tc>
              <w:tc>
                <w:tcPr>
                  <w:tcW w:w="2951" w:type="pct"/>
                  <w:vAlign w:val="center"/>
                </w:tcPr>
                <w:p w14:paraId="75DC1F00">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涉及环境敏感区（不包括饮用水水源保护区，以居住、医疗卫生、文化教育、科研、行政办公为主要功能的区域，以及文物保护单位）的项目</w:t>
                  </w:r>
                </w:p>
              </w:tc>
              <w:tc>
                <w:tcPr>
                  <w:tcW w:w="1230" w:type="pct"/>
                  <w:vAlign w:val="center"/>
                </w:tcPr>
                <w:p w14:paraId="68FDA13C">
                  <w:pPr>
                    <w:keepNext w:val="0"/>
                    <w:keepLines w:val="0"/>
                    <w:pageBreakBefore w:val="0"/>
                    <w:widowControl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项目不涉及自然保护区、风景名胜区、饮用水源地保护区</w:t>
                  </w: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生态红线</w:t>
                  </w:r>
                  <w:r>
                    <w:rPr>
                      <w:rFonts w:hint="default" w:ascii="Times New Roman" w:hAnsi="Times New Roman" w:eastAsia="宋体" w:cs="Times New Roman"/>
                      <w:b w:val="0"/>
                      <w:bCs w:val="0"/>
                      <w:color w:val="auto"/>
                      <w:kern w:val="0"/>
                      <w:sz w:val="21"/>
                      <w:szCs w:val="21"/>
                      <w:highlight w:val="none"/>
                    </w:rPr>
                    <w:t>等环境敏感区</w:t>
                  </w: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不设置生态专题评价</w:t>
                  </w:r>
                  <w:r>
                    <w:rPr>
                      <w:rFonts w:hint="default" w:ascii="Times New Roman" w:hAnsi="Times New Roman" w:eastAsia="宋体" w:cs="Times New Roman"/>
                      <w:color w:val="auto"/>
                      <w:kern w:val="0"/>
                      <w:sz w:val="21"/>
                      <w:szCs w:val="21"/>
                      <w:highlight w:val="none"/>
                      <w:lang w:val="en-US" w:eastAsia="zh-CN"/>
                    </w:rPr>
                    <w:t>。</w:t>
                  </w:r>
                </w:p>
              </w:tc>
              <w:tc>
                <w:tcPr>
                  <w:tcW w:w="430" w:type="pct"/>
                  <w:vAlign w:val="center"/>
                </w:tcPr>
                <w:p w14:paraId="185E0ED5">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val="en-US" w:eastAsia="zh-CN" w:bidi="ar"/>
                    </w:rPr>
                    <w:t>否</w:t>
                  </w:r>
                </w:p>
              </w:tc>
            </w:tr>
            <w:tr w14:paraId="1392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2264C52">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大气</w:t>
                  </w:r>
                </w:p>
              </w:tc>
              <w:tc>
                <w:tcPr>
                  <w:tcW w:w="2951" w:type="pct"/>
                  <w:vAlign w:val="center"/>
                </w:tcPr>
                <w:p w14:paraId="46BFCB4D">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油气、液体化工码头：全部；</w:t>
                  </w:r>
                </w:p>
                <w:p w14:paraId="07D8D614">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干散货（含煤炭、矿石）、件杂、多用途、通用码头：涉及粉尘、挥发性有机物排放的项目</w:t>
                  </w:r>
                </w:p>
              </w:tc>
              <w:tc>
                <w:tcPr>
                  <w:tcW w:w="1230" w:type="pct"/>
                  <w:vAlign w:val="center"/>
                </w:tcPr>
                <w:p w14:paraId="56015FBD">
                  <w:pPr>
                    <w:keepNext w:val="0"/>
                    <w:keepLines w:val="0"/>
                    <w:pageBreakBefore w:val="0"/>
                    <w:widowControl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本项目</w:t>
                  </w:r>
                  <w:r>
                    <w:rPr>
                      <w:rFonts w:hint="default" w:ascii="Times New Roman" w:hAnsi="Times New Roman" w:eastAsia="宋体" w:cs="Times New Roman"/>
                      <w:b w:val="0"/>
                      <w:bCs w:val="0"/>
                      <w:color w:val="auto"/>
                      <w:kern w:val="0"/>
                      <w:sz w:val="21"/>
                      <w:szCs w:val="21"/>
                      <w:highlight w:val="none"/>
                      <w:lang w:val="en-US" w:eastAsia="zh-CN"/>
                    </w:rPr>
                    <w:t>不涉及。</w:t>
                  </w:r>
                </w:p>
              </w:tc>
              <w:tc>
                <w:tcPr>
                  <w:tcW w:w="430" w:type="pct"/>
                  <w:vAlign w:val="center"/>
                </w:tcPr>
                <w:p w14:paraId="2E126499">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否</w:t>
                  </w:r>
                </w:p>
              </w:tc>
            </w:tr>
            <w:tr w14:paraId="64F4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E491B6A">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噪声</w:t>
                  </w:r>
                </w:p>
              </w:tc>
              <w:tc>
                <w:tcPr>
                  <w:tcW w:w="2951" w:type="pct"/>
                  <w:vAlign w:val="center"/>
                </w:tcPr>
                <w:p w14:paraId="09977709">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公路、铁路、机场等交通运输业涉及环境敏感区（以居住、医疗卫生、文化教育、科研、行政办公为主要功能的区域）的项目；</w:t>
                  </w:r>
                </w:p>
                <w:p w14:paraId="5E57968D">
                  <w:pPr>
                    <w:keepNext w:val="0"/>
                    <w:keepLines w:val="0"/>
                    <w:pageBreakBefore w:val="0"/>
                    <w:widowControl/>
                    <w:kinsoku/>
                    <w:wordWrap/>
                    <w:overflowPunct/>
                    <w:topLinePunct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城市道路（不含维护，不含支路、人行天桥、人行地道）：全部</w:t>
                  </w:r>
                </w:p>
              </w:tc>
              <w:tc>
                <w:tcPr>
                  <w:tcW w:w="1230" w:type="pct"/>
                  <w:vAlign w:val="center"/>
                </w:tcPr>
                <w:p w14:paraId="092DB577">
                  <w:pPr>
                    <w:keepNext w:val="0"/>
                    <w:keepLines w:val="0"/>
                    <w:pageBreakBefore w:val="0"/>
                    <w:widowControl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本项目</w:t>
                  </w:r>
                  <w:r>
                    <w:rPr>
                      <w:rFonts w:hint="default" w:ascii="Times New Roman" w:hAnsi="Times New Roman" w:eastAsia="宋体" w:cs="Times New Roman"/>
                      <w:b w:val="0"/>
                      <w:bCs w:val="0"/>
                      <w:color w:val="auto"/>
                      <w:kern w:val="0"/>
                      <w:sz w:val="21"/>
                      <w:szCs w:val="21"/>
                      <w:highlight w:val="none"/>
                      <w:lang w:val="en-US" w:eastAsia="zh-CN"/>
                    </w:rPr>
                    <w:t>不涉及。</w:t>
                  </w:r>
                </w:p>
              </w:tc>
              <w:tc>
                <w:tcPr>
                  <w:tcW w:w="430" w:type="pct"/>
                  <w:vAlign w:val="center"/>
                </w:tcPr>
                <w:p w14:paraId="5C857C5D">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否</w:t>
                  </w:r>
                </w:p>
              </w:tc>
            </w:tr>
            <w:tr w14:paraId="343C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387" w:type="pct"/>
                  <w:vAlign w:val="center"/>
                </w:tcPr>
                <w:p w14:paraId="3EAE4DC3">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环境风险</w:t>
                  </w:r>
                </w:p>
              </w:tc>
              <w:tc>
                <w:tcPr>
                  <w:tcW w:w="2951" w:type="pct"/>
                  <w:vAlign w:val="center"/>
                </w:tcPr>
                <w:p w14:paraId="7383B6DA">
                  <w:pPr>
                    <w:keepNext w:val="0"/>
                    <w:keepLines w:val="0"/>
                    <w:pageBreakBefore w:val="0"/>
                    <w:kinsoku/>
                    <w:wordWrap/>
                    <w:overflowPunct/>
                    <w:topLinePunct w:val="0"/>
                    <w:autoSpaceDE w:val="0"/>
                    <w:autoSpaceDN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石油和天然气开采：全部；</w:t>
                  </w:r>
                </w:p>
                <w:p w14:paraId="190172C5">
                  <w:pPr>
                    <w:keepNext w:val="0"/>
                    <w:keepLines w:val="0"/>
                    <w:pageBreakBefore w:val="0"/>
                    <w:kinsoku/>
                    <w:wordWrap/>
                    <w:overflowPunct/>
                    <w:topLinePunct w:val="0"/>
                    <w:autoSpaceDE w:val="0"/>
                    <w:autoSpaceDN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油气、液体化工码头：全部；</w:t>
                  </w:r>
                </w:p>
                <w:p w14:paraId="5C826B01">
                  <w:pPr>
                    <w:keepNext w:val="0"/>
                    <w:keepLines w:val="0"/>
                    <w:pageBreakBefore w:val="0"/>
                    <w:kinsoku/>
                    <w:wordWrap/>
                    <w:overflowPunct/>
                    <w:topLinePunct w:val="0"/>
                    <w:autoSpaceDE w:val="0"/>
                    <w:autoSpaceDN w:val="0"/>
                    <w:bidi w:val="0"/>
                    <w:adjustRightInd/>
                    <w:snapToGrid/>
                    <w:spacing w:line="288" w:lineRule="auto"/>
                    <w:ind w:left="0" w:leftChars="0" w:right="0" w:rightChars="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原油、成品油、天然气管线（不含城镇天然气管线、企业厂区内管线），危险化学品输送管线（不含企业厂区内管线）：全部</w:t>
                  </w:r>
                </w:p>
              </w:tc>
              <w:tc>
                <w:tcPr>
                  <w:tcW w:w="1230" w:type="pct"/>
                  <w:vAlign w:val="center"/>
                </w:tcPr>
                <w:p w14:paraId="01074698">
                  <w:pPr>
                    <w:keepNext w:val="0"/>
                    <w:keepLines w:val="0"/>
                    <w:pageBreakBefore w:val="0"/>
                    <w:widowControl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本项目</w:t>
                  </w:r>
                  <w:r>
                    <w:rPr>
                      <w:rFonts w:hint="default" w:ascii="Times New Roman" w:hAnsi="Times New Roman" w:eastAsia="宋体" w:cs="Times New Roman"/>
                      <w:b w:val="0"/>
                      <w:bCs w:val="0"/>
                      <w:color w:val="auto"/>
                      <w:kern w:val="0"/>
                      <w:sz w:val="21"/>
                      <w:szCs w:val="21"/>
                      <w:highlight w:val="none"/>
                      <w:lang w:val="en-US" w:eastAsia="zh-CN"/>
                    </w:rPr>
                    <w:t>不涉及。</w:t>
                  </w:r>
                </w:p>
              </w:tc>
              <w:tc>
                <w:tcPr>
                  <w:tcW w:w="430" w:type="pct"/>
                  <w:vAlign w:val="center"/>
                </w:tcPr>
                <w:p w14:paraId="3F59BD49">
                  <w:pPr>
                    <w:keepNext w:val="0"/>
                    <w:keepLines w:val="0"/>
                    <w:pageBreakBefore w:val="0"/>
                    <w:kinsoku/>
                    <w:wordWrap/>
                    <w:overflowPunct/>
                    <w:topLinePunct w:val="0"/>
                    <w:autoSpaceDE w:val="0"/>
                    <w:autoSpaceDN w:val="0"/>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否</w:t>
                  </w:r>
                </w:p>
              </w:tc>
            </w:tr>
          </w:tbl>
          <w:p w14:paraId="2660C7A8">
            <w:pPr>
              <w:keepNext w:val="0"/>
              <w:keepLines w:val="0"/>
              <w:pageBreakBefore w:val="0"/>
              <w:widowControl w:val="0"/>
              <w:kinsoku/>
              <w:wordWrap/>
              <w:overflowPunct/>
              <w:topLinePunct w:val="0"/>
              <w:autoSpaceDE w:val="0"/>
              <w:autoSpaceDN w:val="0"/>
              <w:bidi w:val="0"/>
              <w:adjustRightInd/>
              <w:snapToGrid/>
              <w:spacing w:line="336" w:lineRule="auto"/>
              <w:ind w:firstLine="480" w:firstLineChars="200"/>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根据《环境影响评价技术导则输变电》（HJ24-2020）</w:t>
            </w:r>
            <w:r>
              <w:rPr>
                <w:rFonts w:hint="default" w:ascii="Times New Roman" w:hAnsi="Times New Roman" w:eastAsia="宋体" w:cs="Times New Roman"/>
                <w:color w:val="auto"/>
                <w:kern w:val="0"/>
                <w:sz w:val="24"/>
                <w:szCs w:val="24"/>
                <w:highlight w:val="none"/>
                <w:lang w:val="en-US" w:eastAsia="zh-CN"/>
              </w:rPr>
              <w:t>及</w:t>
            </w:r>
            <w:r>
              <w:rPr>
                <w:rFonts w:hint="default" w:ascii="Times New Roman" w:hAnsi="Times New Roman" w:eastAsia="宋体" w:cs="Times New Roman"/>
                <w:color w:val="auto"/>
                <w:kern w:val="0"/>
                <w:sz w:val="24"/>
                <w:szCs w:val="24"/>
                <w:highlight w:val="none"/>
              </w:rPr>
              <w:t>《建设项目环境影响报告表编制技术指南（生态影响类）》（试行）</w:t>
            </w:r>
            <w:r>
              <w:rPr>
                <w:rFonts w:hint="default" w:ascii="Times New Roman" w:hAnsi="Times New Roman" w:eastAsia="宋体" w:cs="Times New Roman"/>
                <w:color w:val="auto"/>
                <w:kern w:val="0"/>
                <w:sz w:val="24"/>
                <w:szCs w:val="24"/>
                <w:highlight w:val="none"/>
                <w:lang w:val="en-US" w:eastAsia="zh-CN"/>
              </w:rPr>
              <w:t>综合分析，本项目需设置</w:t>
            </w:r>
            <w:r>
              <w:rPr>
                <w:rFonts w:hint="default" w:ascii="Times New Roman" w:hAnsi="Times New Roman" w:eastAsia="宋体" w:cs="Times New Roman"/>
                <w:color w:val="auto"/>
                <w:kern w:val="0"/>
                <w:sz w:val="24"/>
                <w:szCs w:val="24"/>
                <w:highlight w:val="none"/>
              </w:rPr>
              <w:t>电磁环境影响专题评价。</w:t>
            </w:r>
          </w:p>
        </w:tc>
      </w:tr>
      <w:tr w14:paraId="677E3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814" w:type="dxa"/>
            <w:tcMar>
              <w:top w:w="16" w:type="dxa"/>
              <w:left w:w="16" w:type="dxa"/>
              <w:right w:w="16" w:type="dxa"/>
            </w:tcMar>
            <w:vAlign w:val="center"/>
          </w:tcPr>
          <w:p w14:paraId="1FB58C1E">
            <w:pPr>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7744" w:type="dxa"/>
            <w:gridSpan w:val="3"/>
            <w:tcMar>
              <w:top w:w="0" w:type="dxa"/>
              <w:left w:w="108" w:type="dxa"/>
              <w:right w:w="108" w:type="dxa"/>
            </w:tcMar>
            <w:vAlign w:val="center"/>
          </w:tcPr>
          <w:p w14:paraId="31FF78B2">
            <w:pPr>
              <w:autoSpaceDE w:val="0"/>
              <w:autoSpaceDN w:val="0"/>
              <w:adjustRightInd w:val="0"/>
              <w:spacing w:line="240" w:lineRule="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无</w:t>
            </w:r>
          </w:p>
        </w:tc>
      </w:tr>
      <w:tr w14:paraId="1CC99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4" w:type="dxa"/>
            <w:tcMar>
              <w:top w:w="16" w:type="dxa"/>
              <w:left w:w="16" w:type="dxa"/>
              <w:right w:w="16" w:type="dxa"/>
            </w:tcMar>
            <w:vAlign w:val="center"/>
          </w:tcPr>
          <w:p w14:paraId="15C059B7">
            <w:pPr>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1B500096">
            <w:pPr>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7744" w:type="dxa"/>
            <w:gridSpan w:val="3"/>
            <w:tcMar>
              <w:top w:w="0" w:type="dxa"/>
              <w:left w:w="108" w:type="dxa"/>
              <w:right w:w="108" w:type="dxa"/>
            </w:tcMar>
            <w:vAlign w:val="center"/>
          </w:tcPr>
          <w:p w14:paraId="0CEA9FD5">
            <w:pPr>
              <w:adjustRightInd w:val="0"/>
              <w:spacing w:line="240" w:lineRule="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无</w:t>
            </w:r>
          </w:p>
        </w:tc>
      </w:tr>
      <w:tr w14:paraId="7B715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4" w:type="dxa"/>
            <w:tcMar>
              <w:top w:w="16" w:type="dxa"/>
              <w:left w:w="16" w:type="dxa"/>
              <w:right w:w="16" w:type="dxa"/>
            </w:tcMar>
            <w:vAlign w:val="center"/>
          </w:tcPr>
          <w:p w14:paraId="4F1CAE54">
            <w:pPr>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w:t>
            </w:r>
            <w:r>
              <w:rPr>
                <w:rFonts w:hint="default" w:ascii="Times New Roman" w:hAnsi="Times New Roman" w:eastAsia="宋体" w:cs="Times New Roman"/>
                <w:color w:val="auto"/>
                <w:sz w:val="24"/>
                <w:szCs w:val="24"/>
                <w:highlight w:val="none"/>
              </w:rPr>
              <w:t>规划环境影响评价</w:t>
            </w:r>
            <w:r>
              <w:rPr>
                <w:rFonts w:hint="default" w:ascii="Times New Roman" w:hAnsi="Times New Roman" w:eastAsia="宋体" w:cs="Times New Roman"/>
                <w:color w:val="auto"/>
                <w:kern w:val="0"/>
                <w:sz w:val="24"/>
                <w:szCs w:val="24"/>
                <w:highlight w:val="none"/>
              </w:rPr>
              <w:t>符合性分析</w:t>
            </w:r>
          </w:p>
        </w:tc>
        <w:tc>
          <w:tcPr>
            <w:tcW w:w="7744" w:type="dxa"/>
            <w:gridSpan w:val="3"/>
            <w:tcMar>
              <w:top w:w="0" w:type="dxa"/>
              <w:left w:w="108" w:type="dxa"/>
              <w:right w:w="108" w:type="dxa"/>
            </w:tcMar>
            <w:vAlign w:val="center"/>
          </w:tcPr>
          <w:p w14:paraId="1DF73AE1">
            <w:pPr>
              <w:autoSpaceDE w:val="0"/>
              <w:autoSpaceDN w:val="0"/>
              <w:adjustRightInd w:val="0"/>
              <w:spacing w:line="240" w:lineRule="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无</w:t>
            </w:r>
          </w:p>
        </w:tc>
      </w:tr>
      <w:tr w14:paraId="11495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4" w:type="dxa"/>
            <w:tcMar>
              <w:top w:w="16" w:type="dxa"/>
              <w:left w:w="16" w:type="dxa"/>
              <w:right w:w="16" w:type="dxa"/>
            </w:tcMar>
            <w:vAlign w:val="center"/>
          </w:tcPr>
          <w:p w14:paraId="4EFA3EEA">
            <w:pPr>
              <w:autoSpaceDE w:val="0"/>
              <w:autoSpaceDN w:val="0"/>
              <w:adjustRightIn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7744" w:type="dxa"/>
            <w:gridSpan w:val="3"/>
            <w:tcMar>
              <w:top w:w="0" w:type="dxa"/>
              <w:left w:w="108" w:type="dxa"/>
              <w:right w:w="108" w:type="dxa"/>
            </w:tcMar>
            <w:vAlign w:val="center"/>
          </w:tcPr>
          <w:p w14:paraId="6AAB7B9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1、产业政策</w:t>
            </w:r>
            <w:r>
              <w:rPr>
                <w:rFonts w:hint="default" w:ascii="Times New Roman" w:hAnsi="Times New Roman" w:eastAsia="宋体" w:cs="Times New Roman"/>
                <w:b/>
                <w:color w:val="auto"/>
                <w:kern w:val="0"/>
                <w:sz w:val="24"/>
                <w:highlight w:val="none"/>
                <w:lang w:val="en-US" w:eastAsia="zh-CN"/>
              </w:rPr>
              <w:t>符合</w:t>
            </w:r>
            <w:r>
              <w:rPr>
                <w:rFonts w:hint="default" w:ascii="Times New Roman" w:hAnsi="Times New Roman" w:eastAsia="宋体" w:cs="Times New Roman"/>
                <w:b/>
                <w:color w:val="auto"/>
                <w:kern w:val="0"/>
                <w:sz w:val="24"/>
                <w:highlight w:val="none"/>
              </w:rPr>
              <w:t>性</w:t>
            </w:r>
          </w:p>
          <w:p w14:paraId="192C066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国家发展和改革委员会公布的《产业结构调整指导目录（</w:t>
            </w:r>
            <w:r>
              <w:rPr>
                <w:rFonts w:hint="default" w:ascii="Times New Roman" w:hAnsi="Times New Roman" w:eastAsia="宋体"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属《产业结构调整指导目录（</w:t>
            </w:r>
            <w:r>
              <w:rPr>
                <w:rFonts w:hint="default" w:ascii="Times New Roman" w:hAnsi="Times New Roman" w:eastAsia="宋体"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的第一类鼓励类“四电力 2电力基础设施建设”中的输变电项目，</w:t>
            </w:r>
            <w:r>
              <w:rPr>
                <w:rFonts w:hint="default" w:ascii="Times New Roman" w:hAnsi="Times New Roman" w:eastAsia="宋体" w:cs="Times New Roman"/>
                <w:color w:val="auto"/>
                <w:kern w:val="0"/>
                <w:sz w:val="24"/>
                <w:szCs w:val="24"/>
                <w:highlight w:val="none"/>
              </w:rPr>
              <w:t>项目</w:t>
            </w:r>
            <w:r>
              <w:rPr>
                <w:rFonts w:hint="default" w:ascii="Times New Roman" w:hAnsi="Times New Roman" w:eastAsia="宋体" w:cs="Times New Roman"/>
                <w:color w:val="auto"/>
                <w:kern w:val="0"/>
                <w:sz w:val="24"/>
                <w:szCs w:val="24"/>
                <w:highlight w:val="none"/>
                <w:lang w:val="en-US" w:eastAsia="zh-CN"/>
              </w:rPr>
              <w:t>的建设</w:t>
            </w:r>
            <w:r>
              <w:rPr>
                <w:rFonts w:hint="default" w:ascii="Times New Roman" w:hAnsi="Times New Roman" w:eastAsia="宋体" w:cs="Times New Roman"/>
                <w:color w:val="auto"/>
                <w:kern w:val="0"/>
                <w:sz w:val="24"/>
                <w:szCs w:val="24"/>
                <w:highlight w:val="none"/>
              </w:rPr>
              <w:t>符合国家</w:t>
            </w:r>
            <w:r>
              <w:rPr>
                <w:rFonts w:hint="default" w:ascii="Times New Roman" w:hAnsi="Times New Roman" w:eastAsia="宋体" w:cs="Times New Roman"/>
                <w:color w:val="auto"/>
                <w:kern w:val="0"/>
                <w:sz w:val="24"/>
                <w:szCs w:val="24"/>
                <w:highlight w:val="none"/>
                <w:lang w:val="en-US" w:eastAsia="zh-CN"/>
              </w:rPr>
              <w:t>现行</w:t>
            </w:r>
            <w:r>
              <w:rPr>
                <w:rFonts w:hint="default" w:ascii="Times New Roman" w:hAnsi="Times New Roman" w:eastAsia="宋体" w:cs="Times New Roman"/>
                <w:color w:val="auto"/>
                <w:kern w:val="0"/>
                <w:sz w:val="24"/>
                <w:szCs w:val="24"/>
                <w:highlight w:val="none"/>
              </w:rPr>
              <w:t>产业政策要求</w:t>
            </w:r>
            <w:r>
              <w:rPr>
                <w:rFonts w:hint="default" w:ascii="Times New Roman" w:hAnsi="Times New Roman" w:eastAsia="宋体" w:cs="Times New Roman"/>
                <w:color w:val="auto"/>
                <w:kern w:val="0"/>
                <w:sz w:val="24"/>
                <w:szCs w:val="24"/>
                <w:highlight w:val="none"/>
                <w:lang w:eastAsia="zh-CN"/>
              </w:rPr>
              <w:t>。</w:t>
            </w:r>
          </w:p>
          <w:p w14:paraId="7410E022">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2、与“三线一单”的符合性分析</w:t>
            </w:r>
          </w:p>
          <w:p w14:paraId="64B8CCEA">
            <w:pPr>
              <w:keepNext w:val="0"/>
              <w:keepLines w:val="0"/>
              <w:pageBreakBefore w:val="0"/>
              <w:widowControl w:val="0"/>
              <w:kinsoku/>
              <w:wordWrap/>
              <w:overflowPunct/>
              <w:topLinePunct w:val="0"/>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生态保护红线符合性分析</w:t>
            </w:r>
          </w:p>
          <w:p w14:paraId="39F6BE4E">
            <w:pPr>
              <w:autoSpaceDE w:val="0"/>
              <w:autoSpaceDN w:val="0"/>
              <w:adjustRightInd w:val="0"/>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◆与《昆明市人民政府关于昆明市"三线一单" 生态分区管控的实施意见》（昆政发〔2021〕21号）符合性分析</w:t>
            </w:r>
          </w:p>
          <w:p w14:paraId="591FFE2A">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根据《昆明市人民政府关于昆明市"三线一单" 生态分区管控的实施意见》（</w:t>
            </w:r>
            <w:r>
              <w:rPr>
                <w:rFonts w:hint="default" w:ascii="Times New Roman" w:hAnsi="Times New Roman" w:eastAsia="宋体" w:cs="Times New Roman"/>
                <w:color w:val="auto"/>
                <w:sz w:val="24"/>
                <w:highlight w:val="none"/>
                <w:lang w:eastAsia="zh-CN"/>
              </w:rPr>
              <w:t>昆政发〔2021〕21号</w:t>
            </w:r>
            <w:r>
              <w:rPr>
                <w:rFonts w:hint="default" w:ascii="Times New Roman" w:hAnsi="Times New Roman" w:eastAsia="宋体" w:cs="Times New Roman"/>
                <w:color w:val="auto"/>
                <w:sz w:val="24"/>
                <w:highlight w:val="none"/>
              </w:rPr>
              <w:t>）（以下简称“实施方案”）：</w:t>
            </w:r>
            <w:r>
              <w:rPr>
                <w:rFonts w:hint="default" w:ascii="Times New Roman" w:hAnsi="Times New Roman" w:eastAsia="宋体" w:cs="Times New Roman"/>
                <w:color w:val="auto"/>
                <w:sz w:val="24"/>
                <w:highlight w:val="none"/>
                <w:lang w:val="en-US" w:eastAsia="zh-CN"/>
              </w:rPr>
              <w:t>昆明市</w:t>
            </w:r>
            <w:r>
              <w:rPr>
                <w:rFonts w:hint="default" w:ascii="Times New Roman" w:hAnsi="Times New Roman" w:eastAsia="宋体" w:cs="Times New Roman"/>
                <w:color w:val="auto"/>
                <w:sz w:val="24"/>
                <w:highlight w:val="none"/>
              </w:rPr>
              <w:t>全市共划分129个生态环境管控单元，分为优先保护、重点管控和一般管控3类。</w:t>
            </w:r>
          </w:p>
          <w:p w14:paraId="7B1E416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优先保护单元。优先保护单元共42个，其中包括14个生态保护红线区、28个一般生态空间区。</w:t>
            </w:r>
          </w:p>
          <w:p w14:paraId="61E58EC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重点管控单元。重点管控单元共73个，其中包括14个矿山资源重点管控区、13个水环境城镇生活污染重点管控区、5个水环境农业污染重点管控区、2个大气环境受体敏感重点管控区、3个大气环境布局敏感重点管控区、2个大气环境弱扩散重点管控区、14个水环境城镇生活污染和大气环境受体敏感并重管控区、18个水环境工业污染和大气环境高排放并重管控区、2个土壤污染重点治理区。</w:t>
            </w:r>
          </w:p>
          <w:p w14:paraId="1239208F">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一般管控单元。一般管控单元共14个，为优先保护、重点管控单元之外的区域。</w:t>
            </w:r>
          </w:p>
          <w:p w14:paraId="00422437">
            <w:pPr>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环境影响评价阶段已包含本次评价220kV升压</w:t>
            </w:r>
            <w:r>
              <w:rPr>
                <w:rFonts w:hint="default" w:ascii="Times New Roman" w:hAnsi="Times New Roman" w:eastAsia="宋体" w:cs="Times New Roman"/>
                <w:color w:val="auto"/>
                <w:sz w:val="24"/>
                <w:szCs w:val="24"/>
                <w:highlight w:val="none"/>
                <w:u w:val="none"/>
                <w:lang w:val="en-US" w:eastAsia="zh-CN"/>
              </w:rPr>
              <w:t>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根据</w:t>
            </w:r>
            <w:r>
              <w:rPr>
                <w:rFonts w:hint="default" w:ascii="Times New Roman" w:hAnsi="Times New Roman" w:eastAsia="宋体" w:cs="Times New Roman"/>
                <w:snapToGrid w:val="0"/>
                <w:color w:val="auto"/>
                <w:kern w:val="0"/>
                <w:sz w:val="24"/>
                <w:szCs w:val="30"/>
                <w:highlight w:val="none"/>
                <w:lang w:val="en-US" w:eastAsia="zh-CN"/>
              </w:rPr>
              <w:t>2023</w:t>
            </w:r>
            <w:r>
              <w:rPr>
                <w:rFonts w:hint="eastAsia" w:cs="Times New Roman"/>
                <w:snapToGrid w:val="0"/>
                <w:color w:val="auto"/>
                <w:kern w:val="0"/>
                <w:sz w:val="24"/>
                <w:szCs w:val="30"/>
                <w:highlight w:val="none"/>
                <w:lang w:val="en-US" w:eastAsia="zh-CN"/>
              </w:rPr>
              <w:t>年</w:t>
            </w:r>
            <w:r>
              <w:rPr>
                <w:rFonts w:hint="default" w:ascii="Times New Roman" w:hAnsi="Times New Roman" w:eastAsia="宋体" w:cs="Times New Roman"/>
                <w:snapToGrid w:val="0"/>
                <w:color w:val="auto"/>
                <w:kern w:val="0"/>
                <w:sz w:val="24"/>
                <w:szCs w:val="30"/>
                <w:highlight w:val="none"/>
                <w:lang w:val="en-US" w:eastAsia="zh-CN"/>
              </w:rPr>
              <w:t>03</w:t>
            </w:r>
            <w:r>
              <w:rPr>
                <w:rFonts w:hint="eastAsia" w:cs="Times New Roman"/>
                <w:snapToGrid w:val="0"/>
                <w:color w:val="auto"/>
                <w:kern w:val="0"/>
                <w:sz w:val="24"/>
                <w:szCs w:val="30"/>
                <w:highlight w:val="none"/>
                <w:lang w:val="en-US" w:eastAsia="zh-CN"/>
              </w:rPr>
              <w:t>月</w:t>
            </w:r>
            <w:r>
              <w:rPr>
                <w:rFonts w:hint="default" w:ascii="Times New Roman" w:hAnsi="Times New Roman" w:eastAsia="宋体" w:cs="Times New Roman"/>
                <w:snapToGrid w:val="0"/>
                <w:color w:val="auto"/>
                <w:kern w:val="0"/>
                <w:sz w:val="24"/>
                <w:szCs w:val="30"/>
                <w:highlight w:val="none"/>
                <w:lang w:val="en-US" w:eastAsia="zh-CN"/>
              </w:rPr>
              <w:t>16</w:t>
            </w:r>
            <w:r>
              <w:rPr>
                <w:rFonts w:hint="eastAsia" w:cs="Times New Roman"/>
                <w:snapToGrid w:val="0"/>
                <w:color w:val="auto"/>
                <w:kern w:val="0"/>
                <w:sz w:val="24"/>
                <w:szCs w:val="30"/>
                <w:highlight w:val="none"/>
                <w:lang w:val="en-US" w:eastAsia="zh-CN"/>
              </w:rPr>
              <w:t>日</w:t>
            </w:r>
            <w:r>
              <w:rPr>
                <w:rFonts w:hint="default" w:ascii="Times New Roman" w:hAnsi="Times New Roman" w:eastAsia="宋体" w:cs="Times New Roman"/>
                <w:snapToGrid w:val="0"/>
                <w:color w:val="auto"/>
                <w:kern w:val="0"/>
                <w:sz w:val="24"/>
                <w:szCs w:val="30"/>
                <w:highlight w:val="none"/>
                <w:lang w:eastAsia="zh-CN"/>
              </w:rPr>
              <w:t>禄劝彝族苗族自治县自然资源局</w:t>
            </w:r>
            <w:r>
              <w:rPr>
                <w:rFonts w:hint="default" w:ascii="Times New Roman" w:hAnsi="Times New Roman" w:eastAsia="宋体" w:cs="Times New Roman"/>
                <w:snapToGrid w:val="0"/>
                <w:color w:val="auto"/>
                <w:kern w:val="0"/>
                <w:sz w:val="24"/>
                <w:szCs w:val="30"/>
                <w:highlight w:val="none"/>
                <w:lang w:val="en-US" w:eastAsia="zh-CN"/>
              </w:rPr>
              <w:t>关于《</w:t>
            </w:r>
            <w:r>
              <w:rPr>
                <w:rFonts w:hint="default" w:ascii="Times New Roman" w:hAnsi="Times New Roman" w:eastAsia="宋体" w:cs="Times New Roman"/>
                <w:snapToGrid w:val="0"/>
                <w:color w:val="auto"/>
                <w:kern w:val="0"/>
                <w:sz w:val="24"/>
                <w:szCs w:val="30"/>
                <w:highlight w:val="none"/>
                <w:lang w:eastAsia="zh-CN"/>
              </w:rPr>
              <w:t>中清能禄劝县岩子头200MW生态修复光伏电站项目</w:t>
            </w:r>
            <w:r>
              <w:rPr>
                <w:rFonts w:hint="default" w:ascii="Times New Roman" w:hAnsi="Times New Roman" w:eastAsia="宋体" w:cs="Times New Roman"/>
                <w:snapToGrid w:val="0"/>
                <w:color w:val="auto"/>
                <w:kern w:val="0"/>
                <w:sz w:val="24"/>
                <w:szCs w:val="30"/>
                <w:highlight w:val="none"/>
                <w:lang w:val="en-US" w:eastAsia="zh-CN"/>
              </w:rPr>
              <w:t>的地类核查意见》</w:t>
            </w:r>
            <w:r>
              <w:rPr>
                <w:rFonts w:hint="eastAsia" w:cs="Times New Roman"/>
                <w:snapToGrid w:val="0"/>
                <w:color w:val="auto"/>
                <w:kern w:val="0"/>
                <w:sz w:val="24"/>
                <w:szCs w:val="30"/>
                <w:highlight w:val="none"/>
                <w:lang w:val="en-US" w:eastAsia="zh-CN"/>
              </w:rPr>
              <w:t>（详见附件5）</w:t>
            </w:r>
            <w:r>
              <w:rPr>
                <w:rFonts w:hint="default" w:ascii="Times New Roman" w:hAnsi="Times New Roman" w:eastAsia="宋体" w:cs="Times New Roman"/>
                <w:snapToGrid w:val="0"/>
                <w:color w:val="auto"/>
                <w:kern w:val="0"/>
                <w:sz w:val="24"/>
                <w:szCs w:val="30"/>
                <w:highlight w:val="none"/>
                <w:lang w:eastAsia="zh-CN"/>
              </w:rPr>
              <w:t>，</w:t>
            </w:r>
            <w:r>
              <w:rPr>
                <w:rFonts w:hint="eastAsia" w:cs="Times New Roman"/>
                <w:snapToGrid w:val="0"/>
                <w:color w:val="auto"/>
                <w:kern w:val="0"/>
                <w:sz w:val="24"/>
                <w:szCs w:val="30"/>
                <w:highlight w:val="none"/>
                <w:lang w:val="en-US" w:eastAsia="zh-CN"/>
              </w:rPr>
              <w:t>本项目升压站不涉及生态保护红线及基本农田；</w:t>
            </w:r>
            <w:r>
              <w:rPr>
                <w:rFonts w:hint="default" w:ascii="Times New Roman" w:hAnsi="Times New Roman" w:eastAsia="宋体" w:cs="Times New Roman"/>
                <w:color w:val="auto"/>
                <w:sz w:val="24"/>
                <w:szCs w:val="24"/>
                <w:highlight w:val="none"/>
                <w:lang w:val="en-US" w:eastAsia="zh-CN"/>
              </w:rPr>
              <w:t>根据2024</w:t>
            </w:r>
            <w:r>
              <w:rPr>
                <w:rFonts w:hint="eastAsia"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11</w:t>
            </w:r>
            <w:r>
              <w:rPr>
                <w:rFonts w:hint="eastAsia"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12</w:t>
            </w:r>
            <w:r>
              <w:rPr>
                <w:rFonts w:hint="eastAsia"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lang w:val="en-US" w:eastAsia="zh-CN"/>
              </w:rPr>
              <w:t>昆明市生态环境局禄劝分局关于查询禄劝县岩子头200MW生态修复光伏电站工程涉及“三线一单”情况的复函</w:t>
            </w:r>
            <w:r>
              <w:rPr>
                <w:rFonts w:hint="eastAsia" w:cs="Times New Roman"/>
                <w:color w:val="auto"/>
                <w:sz w:val="24"/>
                <w:szCs w:val="24"/>
                <w:highlight w:val="none"/>
                <w:lang w:val="en-US" w:eastAsia="zh-CN"/>
              </w:rPr>
              <w:t>（详见附件15）</w:t>
            </w:r>
            <w:r>
              <w:rPr>
                <w:rFonts w:hint="default" w:ascii="Times New Roman" w:hAnsi="Times New Roman" w:eastAsia="宋体" w:cs="Times New Roman"/>
                <w:color w:val="auto"/>
                <w:sz w:val="24"/>
                <w:szCs w:val="24"/>
                <w:highlight w:val="none"/>
                <w:lang w:val="en-US" w:eastAsia="zh-CN"/>
              </w:rPr>
              <w:t>，本次评价内容220kV升压站位于禄劝县</w:t>
            </w:r>
            <w:r>
              <w:rPr>
                <w:rFonts w:hint="default" w:ascii="Times New Roman" w:hAnsi="Times New Roman" w:eastAsia="宋体" w:cs="Times New Roman"/>
                <w:color w:val="auto"/>
                <w:sz w:val="24"/>
                <w:szCs w:val="24"/>
                <w:highlight w:val="none"/>
              </w:rPr>
              <w:t>一般管控单元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根据对照分析（详见表1-4），项目的建设符合禄劝县</w:t>
            </w:r>
            <w:r>
              <w:rPr>
                <w:rFonts w:hint="default" w:ascii="Times New Roman" w:hAnsi="Times New Roman" w:eastAsia="宋体" w:cs="Times New Roman"/>
                <w:color w:val="auto"/>
                <w:sz w:val="24"/>
                <w:szCs w:val="24"/>
                <w:highlight w:val="none"/>
              </w:rPr>
              <w:t>一般管控单元</w:t>
            </w:r>
            <w:r>
              <w:rPr>
                <w:rFonts w:hint="default" w:ascii="Times New Roman" w:hAnsi="Times New Roman" w:eastAsia="宋体" w:cs="Times New Roman"/>
                <w:color w:val="auto"/>
                <w:sz w:val="24"/>
                <w:szCs w:val="24"/>
                <w:highlight w:val="none"/>
                <w:lang w:val="en-US" w:eastAsia="zh-CN"/>
              </w:rPr>
              <w:t>相关要求；且根据现场调查，现阶段项目主体工程施工期已结束，项目不涉及</w:t>
            </w:r>
            <w:r>
              <w:rPr>
                <w:rFonts w:hint="default" w:ascii="Times New Roman" w:hAnsi="Times New Roman" w:eastAsia="宋体" w:cs="Times New Roman"/>
                <w:b w:val="0"/>
                <w:bCs w:val="0"/>
                <w:color w:val="auto"/>
                <w:kern w:val="0"/>
                <w:sz w:val="24"/>
                <w:szCs w:val="24"/>
                <w:highlight w:val="none"/>
              </w:rPr>
              <w:t>自然保护区、风景名胜区、饮用水源地保护区等环境敏感区</w:t>
            </w:r>
            <w:r>
              <w:rPr>
                <w:rFonts w:hint="default"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项目的建设符合</w:t>
            </w:r>
            <w:r>
              <w:rPr>
                <w:rFonts w:hint="default" w:ascii="Times New Roman" w:hAnsi="Times New Roman" w:eastAsia="宋体" w:cs="Times New Roman"/>
                <w:color w:val="auto"/>
                <w:sz w:val="24"/>
                <w:szCs w:val="24"/>
                <w:highlight w:val="none"/>
                <w:lang w:eastAsia="zh-CN"/>
              </w:rPr>
              <w:t>“昆政发〔2021〕21号”</w:t>
            </w:r>
            <w:r>
              <w:rPr>
                <w:rFonts w:hint="default" w:ascii="Times New Roman" w:hAnsi="Times New Roman" w:eastAsia="宋体" w:cs="Times New Roman"/>
                <w:color w:val="auto"/>
                <w:sz w:val="24"/>
                <w:szCs w:val="24"/>
                <w:highlight w:val="none"/>
                <w:lang w:val="en-US" w:eastAsia="zh-CN"/>
              </w:rPr>
              <w:t>相关要求。</w:t>
            </w:r>
          </w:p>
          <w:p w14:paraId="015E3541">
            <w:pPr>
              <w:autoSpaceDE w:val="0"/>
              <w:autoSpaceDN w:val="0"/>
              <w:adjustRightInd w:val="0"/>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◆与《云南省人民政府关于实施“三线一单”生态环境分区管控的意见》（</w:t>
            </w:r>
            <w:r>
              <w:rPr>
                <w:rFonts w:hint="default" w:ascii="Times New Roman" w:hAnsi="Times New Roman" w:eastAsia="宋体" w:cs="Times New Roman"/>
                <w:b/>
                <w:bCs/>
                <w:color w:val="auto"/>
                <w:kern w:val="0"/>
                <w:sz w:val="24"/>
                <w:highlight w:val="none"/>
              </w:rPr>
              <w:t>云政发〔2020〕29号</w:t>
            </w:r>
            <w:r>
              <w:rPr>
                <w:rFonts w:hint="default" w:ascii="Times New Roman" w:hAnsi="Times New Roman" w:eastAsia="宋体" w:cs="Times New Roman"/>
                <w:b/>
                <w:bCs/>
                <w:color w:val="auto"/>
                <w:sz w:val="24"/>
                <w:highlight w:val="none"/>
              </w:rPr>
              <w:t>）符合性分析</w:t>
            </w:r>
          </w:p>
          <w:p w14:paraId="32E0A22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2020年11月10日，云南省人民政府印发《云南省人民政府关于实施“三线一单”生态环境分区管控的意见》（云政发〔2020〕29号），意见指出：</w:t>
            </w:r>
          </w:p>
          <w:p w14:paraId="083E085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全省共划分1164个生态环境管控单元，分为优先保护、重点管控和一般管控3类。严格落实生态环境保护法律法规标准和有关政策，强化污染防治和自然生态系统保护修复，改善区域生态环境质量。按照区域环境承载能力，优化产业空间布局，加快产业结构调整，严格环境准入，强化污染物排放管控，实现固定污染源排污许可全覆盖。充分考虑水资源、水环境承载力，坚持以水定城、以水定地、以水定人、以水定产。保护优良水体和饮用水源，整治不达标水体，统筹推进水污染防治、水生态保护和水资源管理，全面改善水环境质量。巩固提高环境空气质量，调整优化产业、能源、运输和用地结构，加快城市建成区重污染企业搬迁改造或关闭退出，加强“散乱污”企业综合整治。深化工业污染治理，加大机动车污染防治和扬尘综合治理力度，加强秸秆综合利用，强化大气污染联防联控。加强土壤污染防治，对农用地实施分类管理，对建设用地实行准入管理，确定土壤环境重点监管企业名单，实施土壤污染风险管控和修复名录制度，对污染地块开发利用实行联动监管。严守资源利用上线，实行能源和水资源消耗、建设用地等总量和强度双控，实施工业节能增效，加快发展清洁能源和新能源。生态保护红线优先保护单元按照国家生态保护红线有关要求进行管控。</w:t>
            </w:r>
          </w:p>
          <w:p w14:paraId="159EB7E5">
            <w:pPr>
              <w:autoSpaceDE w:val="0"/>
              <w:autoSpaceDN w:val="0"/>
              <w:adjustRightInd w:val="0"/>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符合性分析：</w:t>
            </w:r>
          </w:p>
          <w:p w14:paraId="41ABE95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highlight w:val="none"/>
                <w:lang w:val="en-US" w:eastAsia="zh-CN"/>
              </w:rPr>
              <w:t>项目选址不涉及</w:t>
            </w:r>
            <w:r>
              <w:rPr>
                <w:rFonts w:hint="default" w:ascii="Times New Roman" w:hAnsi="Times New Roman" w:eastAsia="宋体" w:cs="Times New Roman"/>
                <w:color w:val="auto"/>
                <w:kern w:val="0"/>
                <w:sz w:val="24"/>
                <w:highlight w:val="none"/>
              </w:rPr>
              <w:t>自然保护区、风景名胜区、森林公园</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饮用水源地保护区</w:t>
            </w:r>
            <w:r>
              <w:rPr>
                <w:rFonts w:hint="default" w:ascii="Times New Roman" w:hAnsi="Times New Roman" w:eastAsia="宋体" w:cs="Times New Roman"/>
                <w:color w:val="auto"/>
                <w:kern w:val="0"/>
                <w:sz w:val="24"/>
                <w:highlight w:val="none"/>
              </w:rPr>
              <w:t>等</w:t>
            </w:r>
            <w:r>
              <w:rPr>
                <w:rFonts w:hint="default" w:ascii="Times New Roman" w:hAnsi="Times New Roman" w:eastAsia="宋体" w:cs="Times New Roman"/>
                <w:color w:val="auto"/>
                <w:kern w:val="0"/>
                <w:sz w:val="24"/>
                <w:highlight w:val="none"/>
                <w:lang w:val="en-US" w:eastAsia="zh-CN"/>
              </w:rPr>
              <w:t>生态</w:t>
            </w:r>
            <w:r>
              <w:rPr>
                <w:rFonts w:hint="default" w:ascii="Times New Roman" w:hAnsi="Times New Roman" w:eastAsia="宋体" w:cs="Times New Roman"/>
                <w:color w:val="auto"/>
                <w:kern w:val="0"/>
                <w:sz w:val="24"/>
                <w:highlight w:val="none"/>
              </w:rPr>
              <w:t>环境敏感区</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且</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根据</w:t>
            </w:r>
            <w:r>
              <w:rPr>
                <w:rFonts w:hint="default" w:ascii="Times New Roman" w:hAnsi="Times New Roman" w:eastAsia="宋体" w:cs="Times New Roman"/>
                <w:snapToGrid w:val="0"/>
                <w:color w:val="auto"/>
                <w:kern w:val="0"/>
                <w:sz w:val="24"/>
                <w:szCs w:val="30"/>
                <w:highlight w:val="none"/>
                <w:lang w:val="en-US" w:eastAsia="zh-CN"/>
              </w:rPr>
              <w:t>2023</w:t>
            </w:r>
            <w:r>
              <w:rPr>
                <w:rFonts w:hint="eastAsia" w:cs="Times New Roman"/>
                <w:snapToGrid w:val="0"/>
                <w:color w:val="auto"/>
                <w:kern w:val="0"/>
                <w:sz w:val="24"/>
                <w:szCs w:val="30"/>
                <w:highlight w:val="none"/>
                <w:lang w:val="en-US" w:eastAsia="zh-CN"/>
              </w:rPr>
              <w:t>年</w:t>
            </w:r>
            <w:r>
              <w:rPr>
                <w:rFonts w:hint="default" w:ascii="Times New Roman" w:hAnsi="Times New Roman" w:eastAsia="宋体" w:cs="Times New Roman"/>
                <w:snapToGrid w:val="0"/>
                <w:color w:val="auto"/>
                <w:kern w:val="0"/>
                <w:sz w:val="24"/>
                <w:szCs w:val="30"/>
                <w:highlight w:val="none"/>
                <w:lang w:val="en-US" w:eastAsia="zh-CN"/>
              </w:rPr>
              <w:t>03</w:t>
            </w:r>
            <w:r>
              <w:rPr>
                <w:rFonts w:hint="eastAsia" w:cs="Times New Roman"/>
                <w:snapToGrid w:val="0"/>
                <w:color w:val="auto"/>
                <w:kern w:val="0"/>
                <w:sz w:val="24"/>
                <w:szCs w:val="30"/>
                <w:highlight w:val="none"/>
                <w:lang w:val="en-US" w:eastAsia="zh-CN"/>
              </w:rPr>
              <w:t>月</w:t>
            </w:r>
            <w:r>
              <w:rPr>
                <w:rFonts w:hint="default" w:ascii="Times New Roman" w:hAnsi="Times New Roman" w:eastAsia="宋体" w:cs="Times New Roman"/>
                <w:snapToGrid w:val="0"/>
                <w:color w:val="auto"/>
                <w:kern w:val="0"/>
                <w:sz w:val="24"/>
                <w:szCs w:val="30"/>
                <w:highlight w:val="none"/>
                <w:lang w:val="en-US" w:eastAsia="zh-CN"/>
              </w:rPr>
              <w:t>16</w:t>
            </w:r>
            <w:r>
              <w:rPr>
                <w:rFonts w:hint="eastAsia" w:cs="Times New Roman"/>
                <w:snapToGrid w:val="0"/>
                <w:color w:val="auto"/>
                <w:kern w:val="0"/>
                <w:sz w:val="24"/>
                <w:szCs w:val="30"/>
                <w:highlight w:val="none"/>
                <w:lang w:val="en-US" w:eastAsia="zh-CN"/>
              </w:rPr>
              <w:t>日</w:t>
            </w:r>
            <w:r>
              <w:rPr>
                <w:rFonts w:hint="default" w:ascii="Times New Roman" w:hAnsi="Times New Roman" w:eastAsia="宋体" w:cs="Times New Roman"/>
                <w:snapToGrid w:val="0"/>
                <w:color w:val="auto"/>
                <w:kern w:val="0"/>
                <w:sz w:val="24"/>
                <w:szCs w:val="30"/>
                <w:highlight w:val="none"/>
                <w:lang w:eastAsia="zh-CN"/>
              </w:rPr>
              <w:t>禄劝彝族苗族自治县自然资源局</w:t>
            </w:r>
            <w:r>
              <w:rPr>
                <w:rFonts w:hint="default" w:ascii="Times New Roman" w:hAnsi="Times New Roman" w:eastAsia="宋体" w:cs="Times New Roman"/>
                <w:snapToGrid w:val="0"/>
                <w:color w:val="auto"/>
                <w:kern w:val="0"/>
                <w:sz w:val="24"/>
                <w:szCs w:val="30"/>
                <w:highlight w:val="none"/>
                <w:lang w:val="en-US" w:eastAsia="zh-CN"/>
              </w:rPr>
              <w:t>关于《</w:t>
            </w:r>
            <w:r>
              <w:rPr>
                <w:rFonts w:hint="default" w:ascii="Times New Roman" w:hAnsi="Times New Roman" w:eastAsia="宋体" w:cs="Times New Roman"/>
                <w:snapToGrid w:val="0"/>
                <w:color w:val="auto"/>
                <w:kern w:val="0"/>
                <w:sz w:val="24"/>
                <w:szCs w:val="30"/>
                <w:highlight w:val="none"/>
                <w:lang w:eastAsia="zh-CN"/>
              </w:rPr>
              <w:t>中清能禄劝县岩子头200MW生态修复光伏电站项目</w:t>
            </w:r>
            <w:r>
              <w:rPr>
                <w:rFonts w:hint="default" w:ascii="Times New Roman" w:hAnsi="Times New Roman" w:eastAsia="宋体" w:cs="Times New Roman"/>
                <w:snapToGrid w:val="0"/>
                <w:color w:val="auto"/>
                <w:kern w:val="0"/>
                <w:sz w:val="24"/>
                <w:szCs w:val="30"/>
                <w:highlight w:val="none"/>
                <w:lang w:val="en-US" w:eastAsia="zh-CN"/>
              </w:rPr>
              <w:t>的地类核查意见》</w:t>
            </w:r>
            <w:r>
              <w:rPr>
                <w:rFonts w:hint="eastAsia" w:cs="Times New Roman"/>
                <w:snapToGrid w:val="0"/>
                <w:color w:val="auto"/>
                <w:kern w:val="0"/>
                <w:sz w:val="24"/>
                <w:szCs w:val="30"/>
                <w:highlight w:val="none"/>
                <w:lang w:val="en-US" w:eastAsia="zh-CN"/>
              </w:rPr>
              <w:t>（详见附件5）</w:t>
            </w:r>
            <w:r>
              <w:rPr>
                <w:rFonts w:hint="default" w:ascii="Times New Roman" w:hAnsi="Times New Roman" w:eastAsia="宋体" w:cs="Times New Roman"/>
                <w:snapToGrid w:val="0"/>
                <w:color w:val="auto"/>
                <w:kern w:val="0"/>
                <w:sz w:val="24"/>
                <w:szCs w:val="30"/>
                <w:highlight w:val="none"/>
                <w:lang w:eastAsia="zh-CN"/>
              </w:rPr>
              <w:t>，</w:t>
            </w:r>
            <w:r>
              <w:rPr>
                <w:rFonts w:hint="eastAsia" w:cs="Times New Roman"/>
                <w:snapToGrid w:val="0"/>
                <w:color w:val="auto"/>
                <w:kern w:val="0"/>
                <w:sz w:val="24"/>
                <w:szCs w:val="30"/>
                <w:highlight w:val="none"/>
                <w:lang w:val="en-US" w:eastAsia="zh-CN"/>
              </w:rPr>
              <w:t>本项目升压站不涉及生态保护红线及基本农田；</w:t>
            </w:r>
            <w:r>
              <w:rPr>
                <w:rFonts w:hint="default" w:ascii="Times New Roman" w:hAnsi="Times New Roman" w:eastAsia="宋体" w:cs="Times New Roman"/>
                <w:color w:val="auto"/>
                <w:sz w:val="24"/>
                <w:szCs w:val="24"/>
                <w:highlight w:val="none"/>
                <w:lang w:val="en-US" w:eastAsia="zh-CN"/>
              </w:rPr>
              <w:t>根据2024</w:t>
            </w:r>
            <w:r>
              <w:rPr>
                <w:rFonts w:hint="eastAsia"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11</w:t>
            </w:r>
            <w:r>
              <w:rPr>
                <w:rFonts w:hint="eastAsia"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12</w:t>
            </w:r>
            <w:r>
              <w:rPr>
                <w:rFonts w:hint="eastAsia"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lang w:val="en-US" w:eastAsia="zh-CN"/>
              </w:rPr>
              <w:t>昆明市生态环境局禄劝分局关于查询禄劝县岩子头200MW生态修复光伏电站工程涉及“三线一单”情况的复函</w:t>
            </w:r>
            <w:r>
              <w:rPr>
                <w:rFonts w:hint="eastAsia" w:cs="Times New Roman"/>
                <w:color w:val="auto"/>
                <w:sz w:val="24"/>
                <w:szCs w:val="24"/>
                <w:highlight w:val="none"/>
                <w:lang w:val="en-US" w:eastAsia="zh-CN"/>
              </w:rPr>
              <w:t>（详见附件15）</w:t>
            </w:r>
            <w:r>
              <w:rPr>
                <w:rFonts w:hint="default" w:ascii="Times New Roman" w:hAnsi="Times New Roman" w:eastAsia="宋体" w:cs="Times New Roman"/>
                <w:color w:val="auto"/>
                <w:sz w:val="24"/>
                <w:szCs w:val="24"/>
                <w:highlight w:val="none"/>
                <w:lang w:val="en-US" w:eastAsia="zh-CN"/>
              </w:rPr>
              <w:t>，本次评价内容220kV升压站位于禄劝县</w:t>
            </w:r>
            <w:r>
              <w:rPr>
                <w:rFonts w:hint="default" w:ascii="Times New Roman" w:hAnsi="Times New Roman" w:eastAsia="宋体" w:cs="Times New Roman"/>
                <w:color w:val="auto"/>
                <w:sz w:val="24"/>
                <w:szCs w:val="24"/>
                <w:highlight w:val="none"/>
              </w:rPr>
              <w:t>一般管控单元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根据对照分析（详见表1-4），项目的建设符合禄劝县</w:t>
            </w:r>
            <w:r>
              <w:rPr>
                <w:rFonts w:hint="default" w:ascii="Times New Roman" w:hAnsi="Times New Roman" w:eastAsia="宋体" w:cs="Times New Roman"/>
                <w:color w:val="auto"/>
                <w:sz w:val="24"/>
                <w:szCs w:val="24"/>
                <w:highlight w:val="none"/>
              </w:rPr>
              <w:t>一般管控单元</w:t>
            </w:r>
            <w:r>
              <w:rPr>
                <w:rFonts w:hint="default" w:ascii="Times New Roman" w:hAnsi="Times New Roman" w:eastAsia="宋体" w:cs="Times New Roman"/>
                <w:color w:val="auto"/>
                <w:sz w:val="24"/>
                <w:szCs w:val="24"/>
                <w:highlight w:val="none"/>
                <w:lang w:val="en-US" w:eastAsia="zh-CN"/>
              </w:rPr>
              <w:t>相关要求；且本根据现场调查，现阶段项目主体工程施工期已结束，项目不涉及</w:t>
            </w:r>
            <w:r>
              <w:rPr>
                <w:rFonts w:hint="default" w:ascii="Times New Roman" w:hAnsi="Times New Roman" w:eastAsia="宋体" w:cs="Times New Roman"/>
                <w:b w:val="0"/>
                <w:bCs w:val="0"/>
                <w:color w:val="auto"/>
                <w:kern w:val="0"/>
                <w:sz w:val="24"/>
                <w:szCs w:val="24"/>
                <w:highlight w:val="none"/>
              </w:rPr>
              <w:t>自然保护区、风景名胜区、饮用水源地保护区等环境敏感区</w:t>
            </w:r>
            <w:r>
              <w:rPr>
                <w:rFonts w:hint="default"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color w:val="auto"/>
                <w:kern w:val="0"/>
                <w:sz w:val="24"/>
                <w:highlight w:val="none"/>
                <w:lang w:val="en-US" w:eastAsia="zh-CN"/>
              </w:rPr>
              <w:t>项目建设符合“</w:t>
            </w:r>
            <w:r>
              <w:rPr>
                <w:rFonts w:hint="default" w:ascii="Times New Roman" w:hAnsi="Times New Roman" w:eastAsia="宋体" w:cs="Times New Roman"/>
                <w:b/>
                <w:bCs/>
                <w:color w:val="auto"/>
                <w:kern w:val="0"/>
                <w:sz w:val="24"/>
                <w:highlight w:val="none"/>
              </w:rPr>
              <w:t>云政发〔2020〕29号</w:t>
            </w:r>
            <w:r>
              <w:rPr>
                <w:rFonts w:hint="default" w:ascii="Times New Roman" w:hAnsi="Times New Roman" w:eastAsia="宋体" w:cs="Times New Roman"/>
                <w:color w:val="auto"/>
                <w:kern w:val="0"/>
                <w:sz w:val="24"/>
                <w:highlight w:val="none"/>
                <w:lang w:val="en-US" w:eastAsia="zh-CN"/>
              </w:rPr>
              <w:t>”文相关要求。</w:t>
            </w:r>
          </w:p>
          <w:p w14:paraId="42E54F81">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（2）环境质量底线</w:t>
            </w:r>
          </w:p>
          <w:p w14:paraId="127A73A7">
            <w:pPr>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《昆明市人民政府关于昆明市"三线一单" 生态分区管控的实施意见》（</w:t>
            </w:r>
            <w:r>
              <w:rPr>
                <w:rFonts w:hint="default" w:ascii="Times New Roman" w:hAnsi="Times New Roman" w:eastAsia="宋体" w:cs="Times New Roman"/>
                <w:color w:val="auto"/>
                <w:sz w:val="24"/>
                <w:szCs w:val="24"/>
                <w:highlight w:val="none"/>
                <w:lang w:eastAsia="zh-CN"/>
              </w:rPr>
              <w:t>昆政发〔2021〕21号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项目与</w:t>
            </w:r>
            <w:r>
              <w:rPr>
                <w:rFonts w:hint="default" w:ascii="Times New Roman" w:hAnsi="Times New Roman" w:eastAsia="宋体" w:cs="Times New Roman"/>
                <w:color w:val="auto"/>
                <w:sz w:val="24"/>
                <w:szCs w:val="24"/>
                <w:highlight w:val="none"/>
                <w:lang w:eastAsia="zh-CN"/>
              </w:rPr>
              <w:t>昆政发〔2021〕21号</w:t>
            </w:r>
            <w:r>
              <w:rPr>
                <w:rFonts w:hint="default" w:ascii="Times New Roman" w:hAnsi="Times New Roman" w:eastAsia="宋体" w:cs="Times New Roman"/>
                <w:color w:val="auto"/>
                <w:sz w:val="24"/>
                <w:szCs w:val="24"/>
                <w:highlight w:val="none"/>
              </w:rPr>
              <w:t>文中规定的环境质量底线要求</w:t>
            </w:r>
            <w:r>
              <w:rPr>
                <w:rFonts w:hint="default" w:ascii="Times New Roman" w:hAnsi="Times New Roman" w:eastAsia="宋体" w:cs="Times New Roman"/>
                <w:color w:val="auto"/>
                <w:sz w:val="24"/>
                <w:szCs w:val="24"/>
                <w:highlight w:val="none"/>
                <w:lang w:val="en-US" w:eastAsia="zh-CN"/>
              </w:rPr>
              <w:t>如下</w:t>
            </w:r>
            <w:r>
              <w:rPr>
                <w:rFonts w:hint="default" w:ascii="Times New Roman" w:hAnsi="Times New Roman" w:eastAsia="宋体" w:cs="Times New Roman"/>
                <w:color w:val="auto"/>
                <w:sz w:val="24"/>
                <w:szCs w:val="24"/>
                <w:highlight w:val="none"/>
              </w:rPr>
              <w:t>：</w:t>
            </w:r>
          </w:p>
          <w:p w14:paraId="359BB7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bCs/>
                <w:color w:val="auto"/>
                <w:sz w:val="24"/>
                <w:szCs w:val="24"/>
                <w:highlight w:val="none"/>
              </w:rPr>
              <w:t>昆政发〔2021〕21号：</w:t>
            </w:r>
            <w:r>
              <w:rPr>
                <w:rFonts w:hint="default" w:ascii="Times New Roman" w:hAnsi="Times New Roman" w:eastAsia="宋体" w:cs="Times New Roman"/>
                <w:color w:val="auto"/>
                <w:sz w:val="24"/>
                <w:szCs w:val="24"/>
                <w:highlight w:val="none"/>
                <w:lang w:val="zh-CN"/>
              </w:rPr>
              <w:t>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）和氮氧化物（NO</w:t>
            </w:r>
            <w:r>
              <w:rPr>
                <w:rFonts w:hint="default" w:ascii="Times New Roman" w:hAnsi="Times New Roman" w:eastAsia="宋体" w:cs="Times New Roman"/>
                <w:color w:val="auto"/>
                <w:sz w:val="24"/>
                <w:szCs w:val="24"/>
                <w:highlight w:val="none"/>
                <w:vertAlign w:val="subscript"/>
                <w:lang w:val="zh-CN"/>
              </w:rPr>
              <w:t>X</w:t>
            </w:r>
            <w:r>
              <w:rPr>
                <w:rFonts w:hint="default" w:ascii="Times New Roman" w:hAnsi="Times New Roman" w:eastAsia="宋体" w:cs="Times New Roman"/>
                <w:color w:val="auto"/>
                <w:sz w:val="24"/>
                <w:szCs w:val="24"/>
                <w:highlight w:val="none"/>
                <w:lang w:val="zh-CN"/>
              </w:rPr>
              <w:t>）排放总量控制在省下达的目标以内，主城区空气中颗粒物（PM</w:t>
            </w:r>
            <w:r>
              <w:rPr>
                <w:rFonts w:hint="default" w:ascii="Times New Roman" w:hAnsi="Times New Roman" w:eastAsia="宋体" w:cs="Times New Roman"/>
                <w:color w:val="auto"/>
                <w:sz w:val="24"/>
                <w:szCs w:val="24"/>
                <w:highlight w:val="none"/>
                <w:vertAlign w:val="subscript"/>
                <w:lang w:val="zh-CN"/>
              </w:rPr>
              <w:t>10</w:t>
            </w:r>
            <w:r>
              <w:rPr>
                <w:rFonts w:hint="default" w:ascii="Times New Roman" w:hAnsi="Times New Roman" w:eastAsia="宋体" w:cs="Times New Roman"/>
                <w:color w:val="auto"/>
                <w:sz w:val="24"/>
                <w:szCs w:val="24"/>
                <w:highlight w:val="none"/>
                <w:lang w:val="zh-CN"/>
              </w:rPr>
              <w:t>、PM</w:t>
            </w:r>
            <w:r>
              <w:rPr>
                <w:rFonts w:hint="default" w:ascii="Times New Roman" w:hAnsi="Times New Roman" w:eastAsia="宋体" w:cs="Times New Roman"/>
                <w:color w:val="auto"/>
                <w:sz w:val="24"/>
                <w:szCs w:val="24"/>
                <w:highlight w:val="none"/>
                <w:vertAlign w:val="subscript"/>
                <w:lang w:val="zh-CN"/>
              </w:rPr>
              <w:t>2.5</w:t>
            </w:r>
            <w:r>
              <w:rPr>
                <w:rFonts w:hint="default" w:ascii="Times New Roman" w:hAnsi="Times New Roman" w:eastAsia="宋体" w:cs="Times New Roman"/>
                <w:color w:val="auto"/>
                <w:sz w:val="24"/>
                <w:szCs w:val="24"/>
                <w:highlight w:val="none"/>
                <w:lang w:val="zh-CN"/>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14:paraId="5984E1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p w14:paraId="0E7F9C2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本工程情况：</w:t>
            </w:r>
          </w:p>
          <w:p w14:paraId="05B072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工程所在区域环境质量要求及现状情况如下表所示：</w:t>
            </w:r>
          </w:p>
          <w:p w14:paraId="4D65C15E">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表1-2  工程所在区域环境质量要求及现状情况</w:t>
            </w:r>
          </w:p>
          <w:tbl>
            <w:tblPr>
              <w:tblStyle w:val="49"/>
              <w:tblW w:w="7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974"/>
              <w:gridCol w:w="2573"/>
              <w:gridCol w:w="1535"/>
            </w:tblGrid>
            <w:tr w14:paraId="720B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5" w:type="pct"/>
                  <w:shd w:val="clear" w:color="auto" w:fill="auto"/>
                  <w:noWrap w:val="0"/>
                  <w:vAlign w:val="center"/>
                </w:tcPr>
                <w:p w14:paraId="5C99D659">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bookmarkStart w:id="40" w:name="_Toc12104"/>
                  <w:r>
                    <w:rPr>
                      <w:rFonts w:hint="default" w:ascii="Times New Roman" w:hAnsi="Times New Roman" w:eastAsia="宋体" w:cs="Times New Roman"/>
                      <w:b/>
                      <w:bCs/>
                      <w:color w:val="auto"/>
                      <w:sz w:val="21"/>
                      <w:szCs w:val="21"/>
                      <w:highlight w:val="none"/>
                    </w:rPr>
                    <w:t>要素</w:t>
                  </w:r>
                  <w:bookmarkEnd w:id="40"/>
                </w:p>
              </w:tc>
              <w:tc>
                <w:tcPr>
                  <w:tcW w:w="1942" w:type="pct"/>
                  <w:shd w:val="clear" w:color="auto" w:fill="auto"/>
                  <w:noWrap w:val="0"/>
                  <w:vAlign w:val="center"/>
                </w:tcPr>
                <w:p w14:paraId="73BD47D9">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bookmarkStart w:id="41" w:name="_Toc9389"/>
                  <w:r>
                    <w:rPr>
                      <w:rFonts w:hint="default" w:ascii="Times New Roman" w:hAnsi="Times New Roman" w:eastAsia="宋体" w:cs="Times New Roman"/>
                      <w:b/>
                      <w:bCs/>
                      <w:color w:val="auto"/>
                      <w:sz w:val="21"/>
                      <w:szCs w:val="21"/>
                      <w:highlight w:val="none"/>
                    </w:rPr>
                    <w:t>功能区划</w:t>
                  </w:r>
                  <w:bookmarkEnd w:id="41"/>
                </w:p>
              </w:tc>
              <w:tc>
                <w:tcPr>
                  <w:tcW w:w="1680" w:type="pct"/>
                  <w:shd w:val="clear" w:color="auto" w:fill="auto"/>
                  <w:noWrap w:val="0"/>
                  <w:vAlign w:val="center"/>
                </w:tcPr>
                <w:p w14:paraId="13767442">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bCs/>
                      <w:color w:val="auto"/>
                      <w:sz w:val="21"/>
                      <w:szCs w:val="21"/>
                      <w:highlight w:val="none"/>
                    </w:rPr>
                  </w:pPr>
                  <w:bookmarkStart w:id="42" w:name="_Toc13176"/>
                  <w:r>
                    <w:rPr>
                      <w:rFonts w:hint="default" w:ascii="Times New Roman" w:hAnsi="Times New Roman" w:eastAsia="宋体" w:cs="Times New Roman"/>
                      <w:b/>
                      <w:bCs/>
                      <w:color w:val="auto"/>
                      <w:sz w:val="21"/>
                      <w:szCs w:val="21"/>
                      <w:highlight w:val="none"/>
                    </w:rPr>
                    <w:t>现状</w:t>
                  </w:r>
                  <w:bookmarkEnd w:id="42"/>
                </w:p>
              </w:tc>
              <w:tc>
                <w:tcPr>
                  <w:tcW w:w="1002" w:type="pct"/>
                  <w:shd w:val="clear" w:color="auto" w:fill="auto"/>
                  <w:noWrap w:val="0"/>
                  <w:vAlign w:val="center"/>
                </w:tcPr>
                <w:p w14:paraId="4761DA7C">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bCs/>
                      <w:color w:val="auto"/>
                      <w:sz w:val="21"/>
                      <w:szCs w:val="21"/>
                      <w:highlight w:val="none"/>
                    </w:rPr>
                  </w:pPr>
                  <w:bookmarkStart w:id="43" w:name="_Toc15445"/>
                  <w:r>
                    <w:rPr>
                      <w:rFonts w:hint="default" w:ascii="Times New Roman" w:hAnsi="Times New Roman" w:eastAsia="宋体" w:cs="Times New Roman"/>
                      <w:b/>
                      <w:bCs/>
                      <w:color w:val="auto"/>
                      <w:sz w:val="21"/>
                      <w:szCs w:val="21"/>
                      <w:highlight w:val="none"/>
                    </w:rPr>
                    <w:t>数据来源</w:t>
                  </w:r>
                  <w:bookmarkEnd w:id="43"/>
                </w:p>
              </w:tc>
            </w:tr>
            <w:tr w14:paraId="662B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shd w:val="clear" w:color="auto" w:fill="auto"/>
                  <w:noWrap w:val="0"/>
                  <w:vAlign w:val="center"/>
                </w:tcPr>
                <w:p w14:paraId="2C5F0434">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rPr>
                  </w:pPr>
                  <w:bookmarkStart w:id="44" w:name="_Toc15216"/>
                  <w:r>
                    <w:rPr>
                      <w:rFonts w:hint="default" w:ascii="Times New Roman" w:hAnsi="Times New Roman" w:eastAsia="宋体" w:cs="Times New Roman"/>
                      <w:b w:val="0"/>
                      <w:bCs w:val="0"/>
                      <w:color w:val="auto"/>
                      <w:sz w:val="21"/>
                      <w:szCs w:val="21"/>
                      <w:highlight w:val="none"/>
                    </w:rPr>
                    <w:t>环境空气</w:t>
                  </w:r>
                  <w:bookmarkEnd w:id="44"/>
                </w:p>
              </w:tc>
              <w:tc>
                <w:tcPr>
                  <w:tcW w:w="1942" w:type="pct"/>
                  <w:shd w:val="clear" w:color="auto" w:fill="auto"/>
                  <w:noWrap w:val="0"/>
                  <w:vAlign w:val="center"/>
                </w:tcPr>
                <w:p w14:paraId="3AFC5B48">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5" w:name="_Toc1210"/>
                  <w:r>
                    <w:rPr>
                      <w:rFonts w:hint="default" w:ascii="Times New Roman" w:hAnsi="Times New Roman" w:eastAsia="宋体" w:cs="Times New Roman"/>
                      <w:color w:val="auto"/>
                      <w:kern w:val="0"/>
                      <w:sz w:val="21"/>
                      <w:szCs w:val="21"/>
                      <w:highlight w:val="none"/>
                      <w:lang w:val="en-US" w:eastAsia="zh-CN"/>
                    </w:rPr>
                    <w:t>项目所在区域为</w:t>
                  </w:r>
                  <w:r>
                    <w:rPr>
                      <w:rFonts w:hint="default" w:ascii="Times New Roman" w:hAnsi="Times New Roman" w:eastAsia="宋体" w:cs="Times New Roman"/>
                      <w:color w:val="auto"/>
                      <w:kern w:val="0"/>
                      <w:sz w:val="21"/>
                      <w:szCs w:val="21"/>
                      <w:highlight w:val="none"/>
                    </w:rPr>
                    <w:t>《环境空气质量标准》（GB3095-2012）</w:t>
                  </w:r>
                  <w:r>
                    <w:rPr>
                      <w:rFonts w:hint="default" w:ascii="Times New Roman" w:hAnsi="Times New Roman" w:eastAsia="宋体" w:cs="Times New Roman"/>
                      <w:color w:val="auto"/>
                      <w:kern w:val="0"/>
                      <w:sz w:val="21"/>
                      <w:szCs w:val="21"/>
                      <w:highlight w:val="none"/>
                      <w:lang w:val="en-US" w:eastAsia="zh-CN"/>
                    </w:rPr>
                    <w:t>二类区，执行</w:t>
                  </w:r>
                  <w:r>
                    <w:rPr>
                      <w:rFonts w:hint="default" w:ascii="Times New Roman" w:hAnsi="Times New Roman" w:eastAsia="宋体" w:cs="Times New Roman"/>
                      <w:color w:val="auto"/>
                      <w:kern w:val="0"/>
                      <w:sz w:val="21"/>
                      <w:szCs w:val="21"/>
                      <w:highlight w:val="none"/>
                    </w:rPr>
                    <w:t>《环境空气质量标准》（GB3095-2012）</w:t>
                  </w:r>
                  <w:r>
                    <w:rPr>
                      <w:rFonts w:hint="default" w:ascii="Times New Roman" w:hAnsi="Times New Roman" w:eastAsia="宋体" w:cs="Times New Roman"/>
                      <w:color w:val="auto"/>
                      <w:kern w:val="0"/>
                      <w:sz w:val="21"/>
                      <w:szCs w:val="21"/>
                      <w:highlight w:val="none"/>
                      <w:lang w:val="en-US" w:eastAsia="zh-CN"/>
                    </w:rPr>
                    <w:t>二级标准。</w:t>
                  </w:r>
                  <w:bookmarkEnd w:id="45"/>
                </w:p>
              </w:tc>
              <w:tc>
                <w:tcPr>
                  <w:tcW w:w="1680" w:type="pct"/>
                  <w:shd w:val="clear" w:color="auto" w:fill="auto"/>
                  <w:noWrap w:val="0"/>
                  <w:vAlign w:val="center"/>
                </w:tcPr>
                <w:p w14:paraId="477DD928">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lang w:val="en-US"/>
                    </w:rPr>
                  </w:pPr>
                  <w:bookmarkStart w:id="46" w:name="_Toc23032"/>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pacing w:val="-4"/>
                      <w:sz w:val="21"/>
                      <w:szCs w:val="21"/>
                      <w:highlight w:val="none"/>
                      <w:lang w:eastAsia="zh-CN"/>
                    </w:rPr>
                    <w:t>《202</w:t>
                  </w:r>
                  <w:r>
                    <w:rPr>
                      <w:rFonts w:hint="default" w:ascii="Times New Roman" w:hAnsi="Times New Roman" w:eastAsia="宋体" w:cs="Times New Roman"/>
                      <w:color w:val="auto"/>
                      <w:spacing w:val="-4"/>
                      <w:sz w:val="21"/>
                      <w:szCs w:val="21"/>
                      <w:highlight w:val="none"/>
                      <w:lang w:val="en-US" w:eastAsia="zh-CN"/>
                    </w:rPr>
                    <w:t>3</w:t>
                  </w:r>
                  <w:r>
                    <w:rPr>
                      <w:rFonts w:hint="default" w:ascii="Times New Roman" w:hAnsi="Times New Roman" w:eastAsia="宋体" w:cs="Times New Roman"/>
                      <w:color w:val="auto"/>
                      <w:spacing w:val="-4"/>
                      <w:sz w:val="21"/>
                      <w:szCs w:val="21"/>
                      <w:highlight w:val="none"/>
                      <w:lang w:eastAsia="zh-CN"/>
                    </w:rPr>
                    <w:t>年度昆明市生态环境状况公报》，</w:t>
                  </w:r>
                  <w:r>
                    <w:rPr>
                      <w:rFonts w:hint="default" w:ascii="Times New Roman" w:hAnsi="Times New Roman" w:eastAsia="宋体" w:cs="Times New Roman"/>
                      <w:color w:val="auto"/>
                      <w:sz w:val="21"/>
                      <w:szCs w:val="21"/>
                      <w:highlight w:val="none"/>
                      <w:lang w:val="en-US" w:eastAsia="zh-CN"/>
                    </w:rPr>
                    <w:t>禄劝县</w:t>
                  </w:r>
                  <w:r>
                    <w:rPr>
                      <w:rFonts w:hint="default" w:ascii="Times New Roman" w:hAnsi="Times New Roman" w:eastAsia="宋体" w:cs="Times New Roman"/>
                      <w:color w:val="auto"/>
                      <w:kern w:val="0"/>
                      <w:sz w:val="21"/>
                      <w:szCs w:val="21"/>
                      <w:highlight w:val="none"/>
                      <w:lang w:val="en-US" w:eastAsia="zh-CN"/>
                    </w:rPr>
                    <w:t>满足</w:t>
                  </w:r>
                  <w:r>
                    <w:rPr>
                      <w:rFonts w:hint="default" w:ascii="Times New Roman" w:hAnsi="Times New Roman" w:eastAsia="宋体" w:cs="Times New Roman"/>
                      <w:color w:val="auto"/>
                      <w:kern w:val="0"/>
                      <w:sz w:val="21"/>
                      <w:szCs w:val="21"/>
                      <w:highlight w:val="none"/>
                    </w:rPr>
                    <w:t>《环境空气质量标准》（GB3095-2012）</w:t>
                  </w:r>
                  <w:r>
                    <w:rPr>
                      <w:rFonts w:hint="default" w:ascii="Times New Roman" w:hAnsi="Times New Roman" w:eastAsia="宋体" w:cs="Times New Roman"/>
                      <w:color w:val="auto"/>
                      <w:kern w:val="0"/>
                      <w:sz w:val="21"/>
                      <w:szCs w:val="21"/>
                      <w:highlight w:val="none"/>
                      <w:lang w:val="en-US" w:eastAsia="zh-CN"/>
                    </w:rPr>
                    <w:t>二级标准，为环境空气质量达标区。</w:t>
                  </w:r>
                  <w:bookmarkEnd w:id="46"/>
                </w:p>
              </w:tc>
              <w:tc>
                <w:tcPr>
                  <w:tcW w:w="1002" w:type="pct"/>
                  <w:shd w:val="clear" w:color="auto" w:fill="auto"/>
                  <w:noWrap w:val="0"/>
                  <w:vAlign w:val="center"/>
                </w:tcPr>
                <w:p w14:paraId="43B658AD">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val="0"/>
                      <w:bCs w:val="0"/>
                      <w:color w:val="auto"/>
                      <w:sz w:val="21"/>
                      <w:szCs w:val="21"/>
                      <w:highlight w:val="none"/>
                    </w:rPr>
                  </w:pPr>
                  <w:bookmarkStart w:id="47" w:name="_Toc30751"/>
                  <w:r>
                    <w:rPr>
                      <w:rFonts w:hint="default" w:ascii="Times New Roman" w:hAnsi="Times New Roman" w:eastAsia="宋体" w:cs="Times New Roman"/>
                      <w:b w:val="0"/>
                      <w:bCs w:val="0"/>
                      <w:color w:val="auto"/>
                      <w:sz w:val="21"/>
                      <w:szCs w:val="21"/>
                      <w:highlight w:val="none"/>
                    </w:rPr>
                    <w:t>202</w:t>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年度昆明市生态环境状况公报</w:t>
                  </w:r>
                  <w:bookmarkEnd w:id="47"/>
                </w:p>
              </w:tc>
            </w:tr>
            <w:tr w14:paraId="7706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jc w:val="center"/>
              </w:trPr>
              <w:tc>
                <w:tcPr>
                  <w:tcW w:w="375" w:type="pct"/>
                  <w:shd w:val="clear" w:color="auto" w:fill="auto"/>
                  <w:noWrap w:val="0"/>
                  <w:vAlign w:val="center"/>
                </w:tcPr>
                <w:p w14:paraId="15DB0D73">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rPr>
                  </w:pPr>
                  <w:bookmarkStart w:id="48" w:name="_Toc28793"/>
                  <w:r>
                    <w:rPr>
                      <w:rFonts w:hint="default" w:ascii="Times New Roman" w:hAnsi="Times New Roman" w:eastAsia="宋体" w:cs="Times New Roman"/>
                      <w:b w:val="0"/>
                      <w:bCs w:val="0"/>
                      <w:color w:val="auto"/>
                      <w:sz w:val="21"/>
                      <w:szCs w:val="21"/>
                      <w:highlight w:val="none"/>
                    </w:rPr>
                    <w:t>地表水</w:t>
                  </w:r>
                  <w:bookmarkEnd w:id="48"/>
                </w:p>
              </w:tc>
              <w:tc>
                <w:tcPr>
                  <w:tcW w:w="1942" w:type="pct"/>
                  <w:shd w:val="clear" w:color="auto" w:fill="auto"/>
                  <w:noWrap w:val="0"/>
                  <w:vAlign w:val="center"/>
                </w:tcPr>
                <w:p w14:paraId="2920DCBB">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val="0"/>
                      <w:bCs w:val="0"/>
                      <w:color w:val="auto"/>
                      <w:sz w:val="21"/>
                      <w:szCs w:val="21"/>
                      <w:highlight w:val="none"/>
                    </w:rPr>
                  </w:pPr>
                  <w:bookmarkStart w:id="49" w:name="_Toc18860"/>
                  <w:r>
                    <w:rPr>
                      <w:rFonts w:hint="default" w:ascii="Times New Roman" w:hAnsi="Times New Roman" w:eastAsia="宋体" w:cs="Times New Roman"/>
                      <w:color w:val="auto"/>
                      <w:sz w:val="21"/>
                      <w:szCs w:val="21"/>
                      <w:highlight w:val="none"/>
                      <w:lang w:val="en-US" w:eastAsia="zh-CN"/>
                    </w:rPr>
                    <w:t>项目周边最近地表水体为2.47km处的运昌大沟，运昌大沟为普渡河支流。根据《云南省水功能区划（2014年修订）》，运昌大沟未纳入水环境功能区划，普渡河该河段属普渡河富民-禄劝保留区，2030水质目标为Ⅳ类，执行《地表水环境质量标准》（GB3838-2002）Ⅳ类水质</w:t>
                  </w:r>
                  <w:r>
                    <w:rPr>
                      <w:rFonts w:hint="default" w:ascii="Times New Roman" w:hAnsi="Times New Roman" w:eastAsia="宋体" w:cs="Times New Roman"/>
                      <w:color w:val="auto"/>
                      <w:sz w:val="21"/>
                      <w:szCs w:val="21"/>
                      <w:highlight w:val="none"/>
                      <w:lang w:val="zh-CN" w:eastAsia="zh-CN"/>
                    </w:rPr>
                    <w:t>标准。</w:t>
                  </w:r>
                  <w:bookmarkEnd w:id="49"/>
                </w:p>
              </w:tc>
              <w:tc>
                <w:tcPr>
                  <w:tcW w:w="1680" w:type="pct"/>
                  <w:shd w:val="clear" w:color="auto" w:fill="auto"/>
                  <w:noWrap w:val="0"/>
                  <w:vAlign w:val="center"/>
                </w:tcPr>
                <w:p w14:paraId="4ACE47CF">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val="0"/>
                      <w:bCs w:val="0"/>
                      <w:color w:val="auto"/>
                      <w:sz w:val="21"/>
                      <w:szCs w:val="21"/>
                      <w:highlight w:val="none"/>
                    </w:rPr>
                  </w:pPr>
                  <w:bookmarkStart w:id="50" w:name="_Toc1850"/>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pacing w:val="-4"/>
                      <w:sz w:val="21"/>
                      <w:szCs w:val="21"/>
                      <w:highlight w:val="none"/>
                      <w:lang w:eastAsia="zh-CN"/>
                    </w:rPr>
                    <w:t>《202</w:t>
                  </w:r>
                  <w:r>
                    <w:rPr>
                      <w:rFonts w:hint="default" w:ascii="Times New Roman" w:hAnsi="Times New Roman" w:eastAsia="宋体" w:cs="Times New Roman"/>
                      <w:color w:val="auto"/>
                      <w:spacing w:val="-4"/>
                      <w:sz w:val="21"/>
                      <w:szCs w:val="21"/>
                      <w:highlight w:val="none"/>
                      <w:lang w:val="en-US" w:eastAsia="zh-CN"/>
                    </w:rPr>
                    <w:t>3</w:t>
                  </w:r>
                  <w:r>
                    <w:rPr>
                      <w:rFonts w:hint="default" w:ascii="Times New Roman" w:hAnsi="Times New Roman" w:eastAsia="宋体" w:cs="Times New Roman"/>
                      <w:color w:val="auto"/>
                      <w:spacing w:val="-4"/>
                      <w:sz w:val="21"/>
                      <w:szCs w:val="21"/>
                      <w:highlight w:val="none"/>
                      <w:lang w:eastAsia="zh-CN"/>
                    </w:rPr>
                    <w:t>年度昆明市生态环境状况公报》，</w:t>
                  </w: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普渡河段的普渡河桥断面水质类别</w:t>
                  </w:r>
                  <w:r>
                    <w:rPr>
                      <w:rFonts w:hint="default" w:ascii="Times New Roman" w:hAnsi="Times New Roman" w:eastAsia="宋体" w:cs="Times New Roman"/>
                      <w:color w:val="auto"/>
                      <w:sz w:val="21"/>
                      <w:szCs w:val="21"/>
                      <w:highlight w:val="none"/>
                      <w:lang w:val="en-US" w:eastAsia="zh-CN"/>
                    </w:rPr>
                    <w:t>为《地表水环境质量标准》（GB3838-2002）</w:t>
                  </w:r>
                  <w:r>
                    <w:rPr>
                      <w:rFonts w:hint="default" w:ascii="Times New Roman" w:hAnsi="Times New Roman" w:eastAsia="宋体" w:cs="Times New Roman"/>
                      <w:color w:val="auto"/>
                      <w:sz w:val="21"/>
                      <w:szCs w:val="21"/>
                      <w:highlight w:val="none"/>
                    </w:rPr>
                    <w:t>Ⅲ类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优于规划水平年水质目标Ⅳ类水质</w:t>
                  </w:r>
                  <w:r>
                    <w:rPr>
                      <w:rFonts w:hint="default" w:ascii="Times New Roman" w:hAnsi="Times New Roman" w:eastAsia="宋体" w:cs="Times New Roman"/>
                      <w:color w:val="auto"/>
                      <w:sz w:val="21"/>
                      <w:szCs w:val="21"/>
                      <w:highlight w:val="none"/>
                    </w:rPr>
                    <w:t>。</w:t>
                  </w:r>
                  <w:bookmarkEnd w:id="50"/>
                </w:p>
              </w:tc>
              <w:tc>
                <w:tcPr>
                  <w:tcW w:w="1002" w:type="pct"/>
                  <w:shd w:val="clear" w:color="auto" w:fill="auto"/>
                  <w:noWrap w:val="0"/>
                  <w:vAlign w:val="center"/>
                </w:tcPr>
                <w:p w14:paraId="43CF92ED">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default" w:ascii="Times New Roman" w:hAnsi="Times New Roman" w:eastAsia="宋体" w:cs="Times New Roman"/>
                      <w:b w:val="0"/>
                      <w:bCs w:val="0"/>
                      <w:color w:val="auto"/>
                      <w:sz w:val="21"/>
                      <w:szCs w:val="21"/>
                      <w:highlight w:val="none"/>
                    </w:rPr>
                  </w:pPr>
                  <w:bookmarkStart w:id="51" w:name="_Toc844"/>
                  <w:r>
                    <w:rPr>
                      <w:rFonts w:hint="default" w:ascii="Times New Roman" w:hAnsi="Times New Roman" w:eastAsia="宋体" w:cs="Times New Roman"/>
                      <w:b w:val="0"/>
                      <w:bCs w:val="0"/>
                      <w:color w:val="auto"/>
                      <w:sz w:val="21"/>
                      <w:szCs w:val="21"/>
                      <w:highlight w:val="none"/>
                    </w:rPr>
                    <w:t>202</w:t>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年度昆明市生态环境状况公报</w:t>
                  </w:r>
                  <w:bookmarkEnd w:id="51"/>
                </w:p>
              </w:tc>
            </w:tr>
            <w:tr w14:paraId="5BBD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375" w:type="pct"/>
                  <w:shd w:val="clear" w:color="auto" w:fill="auto"/>
                  <w:noWrap w:val="0"/>
                  <w:vAlign w:val="center"/>
                </w:tcPr>
                <w:p w14:paraId="70AB5CDB">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rPr>
                  </w:pPr>
                  <w:bookmarkStart w:id="52" w:name="_Toc80"/>
                  <w:r>
                    <w:rPr>
                      <w:rFonts w:hint="default" w:ascii="Times New Roman" w:hAnsi="Times New Roman" w:eastAsia="宋体" w:cs="Times New Roman"/>
                      <w:b w:val="0"/>
                      <w:bCs w:val="0"/>
                      <w:color w:val="auto"/>
                      <w:sz w:val="21"/>
                      <w:szCs w:val="21"/>
                      <w:highlight w:val="none"/>
                    </w:rPr>
                    <w:t>声环境</w:t>
                  </w:r>
                  <w:bookmarkEnd w:id="52"/>
                </w:p>
              </w:tc>
              <w:tc>
                <w:tcPr>
                  <w:tcW w:w="1942" w:type="pct"/>
                  <w:shd w:val="clear" w:color="auto" w:fill="auto"/>
                  <w:noWrap w:val="0"/>
                  <w:vAlign w:val="center"/>
                </w:tcPr>
                <w:p w14:paraId="521F75B5">
                  <w:pPr>
                    <w:pStyle w:val="23"/>
                    <w:keepNext w:val="0"/>
                    <w:keepLines w:val="0"/>
                    <w:pageBreakBefore w:val="0"/>
                    <w:widowControl/>
                    <w:kinsoku/>
                    <w:wordWrap/>
                    <w:overflowPunct/>
                    <w:topLinePunct w:val="0"/>
                    <w:autoSpaceDE/>
                    <w:autoSpaceDN/>
                    <w:bidi w:val="0"/>
                    <w:adjustRightInd/>
                    <w:snapToGrid/>
                    <w:spacing w:before="0" w:after="0" w:line="276" w:lineRule="auto"/>
                    <w:ind w:right="0" w:rightChars="0"/>
                    <w:jc w:val="center"/>
                    <w:textAlignment w:val="auto"/>
                    <w:rPr>
                      <w:rFonts w:hint="default" w:ascii="Times New Roman" w:hAnsi="Times New Roman" w:eastAsia="宋体" w:cs="Times New Roman"/>
                      <w:b w:val="0"/>
                      <w:bCs w:val="0"/>
                      <w:color w:val="auto"/>
                      <w:sz w:val="21"/>
                      <w:szCs w:val="21"/>
                      <w:highlight w:val="none"/>
                    </w:rPr>
                  </w:pPr>
                  <w:bookmarkStart w:id="53" w:name="_Toc18251"/>
                  <w:r>
                    <w:rPr>
                      <w:rFonts w:hint="default" w:ascii="Times New Roman" w:hAnsi="Times New Roman" w:eastAsia="宋体" w:cs="Times New Roman"/>
                      <w:b w:val="0"/>
                      <w:bCs w:val="0"/>
                      <w:color w:val="auto"/>
                      <w:sz w:val="21"/>
                      <w:szCs w:val="21"/>
                      <w:highlight w:val="none"/>
                      <w:lang w:val="en-US" w:eastAsia="zh-CN"/>
                    </w:rPr>
                    <w:t>项目所在区域</w:t>
                  </w:r>
                  <w:r>
                    <w:rPr>
                      <w:rFonts w:hint="default" w:ascii="Times New Roman" w:hAnsi="Times New Roman" w:eastAsia="宋体" w:cs="Times New Roman"/>
                      <w:b w:val="0"/>
                      <w:bCs w:val="0"/>
                      <w:color w:val="auto"/>
                      <w:sz w:val="21"/>
                      <w:szCs w:val="21"/>
                      <w:highlight w:val="none"/>
                    </w:rPr>
                    <w:t>执行《声环境质量标准》（GB3096-2008）</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类标准。</w:t>
                  </w:r>
                  <w:bookmarkEnd w:id="53"/>
                </w:p>
              </w:tc>
              <w:tc>
                <w:tcPr>
                  <w:tcW w:w="1680" w:type="pct"/>
                  <w:shd w:val="clear" w:color="auto" w:fill="auto"/>
                  <w:noWrap w:val="0"/>
                  <w:vAlign w:val="center"/>
                </w:tcPr>
                <w:p w14:paraId="3C430520">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eastAsia" w:ascii="Times New Roman" w:hAnsi="Times New Roman" w:eastAsia="宋体" w:cs="Times New Roman"/>
                      <w:b w:val="0"/>
                      <w:bCs w:val="0"/>
                      <w:color w:val="auto"/>
                      <w:sz w:val="21"/>
                      <w:szCs w:val="21"/>
                      <w:highlight w:val="none"/>
                      <w:lang w:val="en-US" w:eastAsia="zh-CN"/>
                    </w:rPr>
                  </w:pPr>
                  <w:bookmarkStart w:id="54" w:name="_Toc17206"/>
                  <w:r>
                    <w:rPr>
                      <w:rFonts w:hint="default" w:ascii="Times New Roman" w:hAnsi="Times New Roman" w:eastAsia="宋体" w:cs="Times New Roman"/>
                      <w:b w:val="0"/>
                      <w:bCs w:val="0"/>
                      <w:color w:val="auto"/>
                      <w:sz w:val="21"/>
                      <w:szCs w:val="21"/>
                      <w:highlight w:val="none"/>
                      <w:lang w:val="en-US" w:eastAsia="zh-CN"/>
                    </w:rPr>
                    <w:t>根据现状监测结果，项目所在区域</w:t>
                  </w:r>
                  <w:r>
                    <w:rPr>
                      <w:rFonts w:hint="default" w:ascii="Times New Roman" w:hAnsi="Times New Roman" w:eastAsia="宋体" w:cs="Times New Roman"/>
                      <w:b w:val="0"/>
                      <w:bCs w:val="0"/>
                      <w:color w:val="auto"/>
                      <w:sz w:val="21"/>
                      <w:szCs w:val="21"/>
                      <w:highlight w:val="none"/>
                    </w:rPr>
                    <w:t>满足《声环境质量标准》（GB3096-2008）</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类标准</w:t>
                  </w:r>
                  <w:bookmarkEnd w:id="54"/>
                  <w:r>
                    <w:rPr>
                      <w:rFonts w:hint="eastAsia" w:cs="Times New Roman"/>
                      <w:b w:val="0"/>
                      <w:bCs w:val="0"/>
                      <w:color w:val="auto"/>
                      <w:sz w:val="21"/>
                      <w:szCs w:val="21"/>
                      <w:highlight w:val="none"/>
                      <w:lang w:eastAsia="zh-CN"/>
                    </w:rPr>
                    <w:t>。</w:t>
                  </w:r>
                </w:p>
              </w:tc>
              <w:tc>
                <w:tcPr>
                  <w:tcW w:w="1002" w:type="pct"/>
                  <w:shd w:val="clear" w:color="auto" w:fill="auto"/>
                  <w:noWrap w:val="0"/>
                  <w:vAlign w:val="center"/>
                </w:tcPr>
                <w:p w14:paraId="2F618ED6">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5" w:name="_Toc31755"/>
                  <w:r>
                    <w:rPr>
                      <w:rFonts w:hint="default" w:ascii="Times New Roman" w:hAnsi="Times New Roman" w:eastAsia="宋体" w:cs="Times New Roman"/>
                      <w:b w:val="0"/>
                      <w:bCs w:val="0"/>
                      <w:color w:val="auto"/>
                      <w:sz w:val="21"/>
                      <w:szCs w:val="21"/>
                      <w:highlight w:val="none"/>
                    </w:rPr>
                    <w:t>本次环评环境质量现状监测</w:t>
                  </w:r>
                  <w:r>
                    <w:rPr>
                      <w:rFonts w:hint="default" w:ascii="Times New Roman" w:hAnsi="Times New Roman" w:eastAsia="宋体" w:cs="Times New Roman"/>
                      <w:b w:val="0"/>
                      <w:bCs w:val="0"/>
                      <w:color w:val="auto"/>
                      <w:sz w:val="21"/>
                      <w:szCs w:val="21"/>
                      <w:highlight w:val="none"/>
                      <w:lang w:val="en-US" w:eastAsia="zh-CN"/>
                    </w:rPr>
                    <w:t>及项目主体环评期间监测数据。</w:t>
                  </w:r>
                  <w:bookmarkEnd w:id="55"/>
                </w:p>
              </w:tc>
            </w:tr>
            <w:tr w14:paraId="4837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shd w:val="clear" w:color="auto" w:fill="auto"/>
                  <w:noWrap w:val="0"/>
                  <w:vAlign w:val="center"/>
                </w:tcPr>
                <w:p w14:paraId="0E87DA97">
                  <w:pPr>
                    <w:pStyle w:val="23"/>
                    <w:keepNext w:val="0"/>
                    <w:keepLines w:val="0"/>
                    <w:pageBreakBefore w:val="0"/>
                    <w:widowControl/>
                    <w:kinsoku/>
                    <w:wordWrap/>
                    <w:overflowPunct/>
                    <w:topLinePunct w:val="0"/>
                    <w:autoSpaceDE/>
                    <w:autoSpaceDN/>
                    <w:bidi w:val="0"/>
                    <w:adjustRightInd/>
                    <w:snapToGrid/>
                    <w:spacing w:before="0" w:after="0" w:line="276" w:lineRule="auto"/>
                    <w:ind w:left="-105" w:leftChars="-50" w:right="-105" w:rightChars="-50"/>
                    <w:jc w:val="center"/>
                    <w:textAlignment w:val="auto"/>
                    <w:rPr>
                      <w:rFonts w:hint="default" w:ascii="Times New Roman" w:hAnsi="Times New Roman" w:eastAsia="宋体" w:cs="Times New Roman"/>
                      <w:b w:val="0"/>
                      <w:bCs w:val="0"/>
                      <w:color w:val="auto"/>
                      <w:sz w:val="21"/>
                      <w:szCs w:val="21"/>
                      <w:highlight w:val="none"/>
                    </w:rPr>
                  </w:pPr>
                  <w:bookmarkStart w:id="56" w:name="_Toc11836"/>
                  <w:r>
                    <w:rPr>
                      <w:rFonts w:hint="default" w:ascii="Times New Roman" w:hAnsi="Times New Roman" w:eastAsia="宋体" w:cs="Times New Roman"/>
                      <w:b w:val="0"/>
                      <w:bCs w:val="0"/>
                      <w:color w:val="auto"/>
                      <w:sz w:val="21"/>
                      <w:szCs w:val="21"/>
                      <w:highlight w:val="none"/>
                    </w:rPr>
                    <w:t>电磁环境</w:t>
                  </w:r>
                  <w:bookmarkEnd w:id="56"/>
                </w:p>
              </w:tc>
              <w:tc>
                <w:tcPr>
                  <w:tcW w:w="1942" w:type="pct"/>
                  <w:shd w:val="clear" w:color="auto" w:fill="auto"/>
                  <w:noWrap w:val="0"/>
                  <w:vAlign w:val="center"/>
                </w:tcPr>
                <w:p w14:paraId="2A63D474">
                  <w:pPr>
                    <w:pStyle w:val="23"/>
                    <w:keepNext w:val="0"/>
                    <w:keepLines w:val="0"/>
                    <w:pageBreakBefore w:val="0"/>
                    <w:widowControl/>
                    <w:kinsoku/>
                    <w:wordWrap/>
                    <w:overflowPunct/>
                    <w:topLinePunct w:val="0"/>
                    <w:autoSpaceDE/>
                    <w:autoSpaceDN/>
                    <w:bidi w:val="0"/>
                    <w:adjustRightInd/>
                    <w:snapToGrid/>
                    <w:spacing w:before="0" w:after="0" w:line="276" w:lineRule="auto"/>
                    <w:ind w:right="0" w:right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color w:val="auto"/>
                      <w:sz w:val="21"/>
                      <w:szCs w:val="21"/>
                      <w:highlight w:val="none"/>
                      <w:lang w:val="en-US" w:eastAsia="zh-CN"/>
                    </w:rPr>
                    <w:t>电磁环境执行</w:t>
                  </w:r>
                  <w:r>
                    <w:rPr>
                      <w:rFonts w:hint="default" w:ascii="Times New Roman" w:hAnsi="Times New Roman" w:eastAsia="宋体" w:cs="Times New Roman"/>
                      <w:color w:val="auto"/>
                      <w:sz w:val="21"/>
                      <w:szCs w:val="21"/>
                      <w:highlight w:val="none"/>
                      <w:lang w:val="en-US" w:eastAsia="zh-CN"/>
                    </w:rPr>
                    <w:t>《电磁环境控</w:t>
                  </w:r>
                  <w:r>
                    <w:rPr>
                      <w:rFonts w:hint="default" w:ascii="Times New Roman" w:hAnsi="Times New Roman" w:eastAsia="宋体" w:cs="Times New Roman"/>
                      <w:color w:val="auto"/>
                      <w:sz w:val="21"/>
                      <w:szCs w:val="21"/>
                      <w:highlight w:val="none"/>
                    </w:rPr>
                    <w:t>制限值》（GB8702-2014）中的有关规定要求</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即：</w:t>
                  </w:r>
                  <w:r>
                    <w:rPr>
                      <w:rFonts w:hint="default" w:ascii="Times New Roman" w:hAnsi="Times New Roman" w:eastAsia="宋体" w:cs="Times New Roman"/>
                      <w:b w:val="0"/>
                      <w:bCs w:val="0"/>
                      <w:color w:val="auto"/>
                      <w:sz w:val="21"/>
                      <w:szCs w:val="21"/>
                      <w:highlight w:val="none"/>
                    </w:rPr>
                    <w:t>电场强度限值：4000v/</w:t>
                  </w:r>
                  <w:r>
                    <w:rPr>
                      <w:rFonts w:hint="eastAsia"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rPr>
                    <w:t>磁感应强度限值：100uT</w:t>
                  </w:r>
                  <w:r>
                    <w:rPr>
                      <w:rFonts w:hint="eastAsia" w:cs="Times New Roman"/>
                      <w:b w:val="0"/>
                      <w:bCs w:val="0"/>
                      <w:color w:val="auto"/>
                      <w:sz w:val="21"/>
                      <w:szCs w:val="21"/>
                      <w:highlight w:val="none"/>
                      <w:lang w:eastAsia="zh-CN"/>
                    </w:rPr>
                    <w:t>。</w:t>
                  </w:r>
                </w:p>
              </w:tc>
              <w:tc>
                <w:tcPr>
                  <w:tcW w:w="1680" w:type="pct"/>
                  <w:shd w:val="clear" w:color="auto" w:fill="auto"/>
                  <w:noWrap w:val="0"/>
                  <w:vAlign w:val="center"/>
                </w:tcPr>
                <w:p w14:paraId="104F2B6E">
                  <w:pPr>
                    <w:pStyle w:val="23"/>
                    <w:keepNext w:val="0"/>
                    <w:keepLines w:val="0"/>
                    <w:pageBreakBefore w:val="0"/>
                    <w:widowControl/>
                    <w:kinsoku/>
                    <w:wordWrap/>
                    <w:overflowPunct/>
                    <w:topLinePunct w:val="0"/>
                    <w:autoSpaceDE/>
                    <w:autoSpaceDN/>
                    <w:bidi w:val="0"/>
                    <w:adjustRightInd/>
                    <w:snapToGrid/>
                    <w:spacing w:before="0" w:after="0" w:line="276" w:lineRule="auto"/>
                    <w:ind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根据</w:t>
                  </w:r>
                  <w:r>
                    <w:rPr>
                      <w:rFonts w:hint="eastAsia" w:ascii="Times New Roman" w:hAnsi="Times New Roman" w:eastAsia="宋体" w:cs="Times New Roman"/>
                      <w:color w:val="auto"/>
                      <w:sz w:val="21"/>
                      <w:szCs w:val="21"/>
                      <w:highlight w:val="none"/>
                      <w:lang w:val="en-US" w:eastAsia="zh-CN"/>
                    </w:rPr>
                    <w:t>本次环评期间现状</w:t>
                  </w:r>
                  <w:r>
                    <w:rPr>
                      <w:rFonts w:hint="default" w:ascii="Times New Roman" w:hAnsi="Times New Roman" w:eastAsia="宋体" w:cs="Times New Roman"/>
                      <w:color w:val="auto"/>
                      <w:sz w:val="21"/>
                      <w:szCs w:val="21"/>
                      <w:highlight w:val="none"/>
                      <w:lang w:val="en-US" w:eastAsia="zh-CN"/>
                    </w:rPr>
                    <w:t>监测结果可知，项目区工频电场强度</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工频磁感应强度均满足《电磁环境控</w:t>
                  </w:r>
                  <w:r>
                    <w:rPr>
                      <w:rFonts w:hint="default" w:ascii="Times New Roman" w:hAnsi="Times New Roman" w:eastAsia="宋体" w:cs="Times New Roman"/>
                      <w:color w:val="auto"/>
                      <w:sz w:val="21"/>
                      <w:szCs w:val="21"/>
                      <w:highlight w:val="none"/>
                    </w:rPr>
                    <w:t>制限值》（GB8702-2014）中的有关规定要求</w:t>
                  </w:r>
                  <w:r>
                    <w:rPr>
                      <w:rFonts w:hint="eastAsia" w:ascii="Times New Roman" w:hAnsi="Times New Roman" w:eastAsia="宋体" w:cs="Times New Roman"/>
                      <w:color w:val="auto"/>
                      <w:sz w:val="21"/>
                      <w:szCs w:val="21"/>
                      <w:highlight w:val="none"/>
                      <w:lang w:eastAsia="zh-CN"/>
                    </w:rPr>
                    <w:t>。</w:t>
                  </w:r>
                </w:p>
              </w:tc>
              <w:tc>
                <w:tcPr>
                  <w:tcW w:w="1002" w:type="pct"/>
                  <w:shd w:val="clear" w:color="auto" w:fill="auto"/>
                  <w:noWrap w:val="0"/>
                  <w:vAlign w:val="center"/>
                </w:tcPr>
                <w:p w14:paraId="69CC2C20">
                  <w:pPr>
                    <w:pStyle w:val="23"/>
                    <w:keepNext w:val="0"/>
                    <w:keepLines w:val="0"/>
                    <w:pageBreakBefore w:val="0"/>
                    <w:widowControl/>
                    <w:kinsoku/>
                    <w:wordWrap/>
                    <w:overflowPunct/>
                    <w:topLinePunct w:val="0"/>
                    <w:autoSpaceDE/>
                    <w:autoSpaceDN/>
                    <w:bidi w:val="0"/>
                    <w:adjustRightInd/>
                    <w:snapToGrid/>
                    <w:spacing w:before="0" w:after="0" w:line="276" w:lineRule="auto"/>
                    <w:ind w:right="0"/>
                    <w:jc w:val="center"/>
                    <w:textAlignment w:val="auto"/>
                    <w:rPr>
                      <w:rFonts w:hint="eastAsia" w:ascii="Times New Roman" w:hAnsi="Times New Roman" w:eastAsia="宋体" w:cs="Times New Roman"/>
                      <w:b w:val="0"/>
                      <w:bCs w:val="0"/>
                      <w:color w:val="auto"/>
                      <w:sz w:val="21"/>
                      <w:szCs w:val="21"/>
                      <w:highlight w:val="none"/>
                      <w:lang w:eastAsia="zh-CN"/>
                    </w:rPr>
                  </w:pPr>
                  <w:bookmarkStart w:id="57" w:name="_Toc9935"/>
                  <w:r>
                    <w:rPr>
                      <w:rFonts w:hint="default" w:ascii="Times New Roman" w:hAnsi="Times New Roman" w:eastAsia="宋体" w:cs="Times New Roman"/>
                      <w:b w:val="0"/>
                      <w:bCs w:val="0"/>
                      <w:color w:val="auto"/>
                      <w:sz w:val="21"/>
                      <w:szCs w:val="21"/>
                      <w:highlight w:val="none"/>
                    </w:rPr>
                    <w:t>本次环评环境质量现状监测</w:t>
                  </w:r>
                  <w:bookmarkEnd w:id="57"/>
                  <w:r>
                    <w:rPr>
                      <w:rFonts w:hint="eastAsia" w:cs="Times New Roman"/>
                      <w:b w:val="0"/>
                      <w:bCs w:val="0"/>
                      <w:color w:val="auto"/>
                      <w:sz w:val="21"/>
                      <w:szCs w:val="21"/>
                      <w:highlight w:val="none"/>
                      <w:lang w:eastAsia="zh-CN"/>
                    </w:rPr>
                    <w:t>。</w:t>
                  </w:r>
                </w:p>
              </w:tc>
            </w:tr>
          </w:tbl>
          <w:p w14:paraId="188AE93B">
            <w:pPr>
              <w:pStyle w:val="338"/>
              <w:keepNext w:val="0"/>
              <w:keepLines w:val="0"/>
              <w:pageBreakBefore w:val="0"/>
              <w:widowControl w:val="0"/>
              <w:kinsoku/>
              <w:wordWrap/>
              <w:overflowPunct/>
              <w:topLinePunct w:val="0"/>
              <w:autoSpaceDE/>
              <w:autoSpaceDN/>
              <w:bidi w:val="0"/>
              <w:adjustRightInd/>
              <w:snapToGrid/>
              <w:ind w:firstLine="48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kern w:val="0"/>
                <w:sz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highlight w:val="none"/>
                <w:lang w:eastAsia="zh-CN"/>
              </w:rPr>
              <w:t>，</w:t>
            </w:r>
            <w:r>
              <w:rPr>
                <w:rFonts w:hint="eastAsia" w:ascii="Times New Roman" w:hAnsi="Times New Roman"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本工程所在区域</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禄劝县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根据生态环境质量公报及现状监测结果可知，工程区域的声环境、大气环境、电磁环境</w:t>
            </w:r>
            <w:r>
              <w:rPr>
                <w:rFonts w:hint="default" w:ascii="Times New Roman" w:hAnsi="Times New Roman" w:eastAsia="宋体" w:cs="Times New Roman"/>
                <w:color w:val="auto"/>
                <w:sz w:val="24"/>
                <w:szCs w:val="24"/>
                <w:highlight w:val="none"/>
                <w:lang w:val="en-US" w:eastAsia="zh-CN"/>
              </w:rPr>
              <w:t>及地表水环境</w:t>
            </w:r>
            <w:r>
              <w:rPr>
                <w:rFonts w:hint="default" w:ascii="Times New Roman" w:hAnsi="Times New Roman" w:eastAsia="宋体" w:cs="Times New Roman"/>
                <w:color w:val="auto"/>
                <w:sz w:val="24"/>
                <w:szCs w:val="24"/>
                <w:highlight w:val="none"/>
              </w:rPr>
              <w:t>均能够满足相应的标准要求。</w:t>
            </w:r>
            <w:r>
              <w:rPr>
                <w:rFonts w:hint="default" w:ascii="Times New Roman" w:hAnsi="Times New Roman" w:eastAsia="宋体" w:cs="Times New Roman"/>
                <w:color w:val="auto"/>
                <w:sz w:val="24"/>
                <w:szCs w:val="24"/>
                <w:highlight w:val="none"/>
                <w:lang w:val="en-US" w:eastAsia="zh-CN"/>
              </w:rPr>
              <w:t>此外，</w:t>
            </w:r>
            <w:r>
              <w:rPr>
                <w:rFonts w:hint="default" w:ascii="Times New Roman" w:hAnsi="Times New Roman" w:eastAsia="宋体" w:cs="Times New Roman"/>
                <w:color w:val="auto"/>
                <w:sz w:val="24"/>
                <w:szCs w:val="24"/>
                <w:highlight w:val="none"/>
              </w:rPr>
              <w:t>本工程属非生产性</w:t>
            </w:r>
            <w:r>
              <w:rPr>
                <w:rFonts w:hint="default" w:ascii="Times New Roman" w:hAnsi="Times New Roman" w:eastAsia="宋体" w:cs="Times New Roman"/>
                <w:color w:val="auto"/>
                <w:sz w:val="24"/>
                <w:szCs w:val="24"/>
                <w:highlight w:val="none"/>
                <w:lang w:val="en-US" w:eastAsia="zh-CN"/>
              </w:rPr>
              <w:t>工业企业</w:t>
            </w:r>
            <w:r>
              <w:rPr>
                <w:rFonts w:hint="default" w:ascii="Times New Roman" w:hAnsi="Times New Roman" w:eastAsia="宋体" w:cs="Times New Roman"/>
                <w:color w:val="auto"/>
                <w:sz w:val="24"/>
                <w:szCs w:val="24"/>
                <w:highlight w:val="none"/>
              </w:rPr>
              <w:t>建设项目，运营期</w:t>
            </w:r>
            <w:r>
              <w:rPr>
                <w:rFonts w:hint="default" w:ascii="Times New Roman" w:hAnsi="Times New Roman" w:eastAsia="宋体" w:cs="Times New Roman"/>
                <w:color w:val="auto"/>
                <w:sz w:val="24"/>
                <w:szCs w:val="24"/>
                <w:highlight w:val="none"/>
                <w:lang w:val="en-US" w:eastAsia="zh-CN"/>
              </w:rPr>
              <w:t>经采取相应措施后</w:t>
            </w:r>
            <w:r>
              <w:rPr>
                <w:rFonts w:hint="default" w:ascii="Times New Roman" w:hAnsi="Times New Roman" w:eastAsia="宋体" w:cs="Times New Roman"/>
                <w:color w:val="auto"/>
                <w:sz w:val="24"/>
                <w:szCs w:val="24"/>
                <w:highlight w:val="none"/>
              </w:rPr>
              <w:t>对周边环境</w:t>
            </w:r>
            <w:r>
              <w:rPr>
                <w:rFonts w:hint="default" w:ascii="Times New Roman" w:hAnsi="Times New Roman" w:eastAsia="宋体" w:cs="Times New Roman"/>
                <w:color w:val="auto"/>
                <w:sz w:val="24"/>
                <w:szCs w:val="24"/>
                <w:highlight w:val="none"/>
                <w:lang w:val="en-US" w:eastAsia="zh-CN"/>
              </w:rPr>
              <w:t>质量</w:t>
            </w:r>
            <w:r>
              <w:rPr>
                <w:rFonts w:hint="default" w:ascii="Times New Roman" w:hAnsi="Times New Roman" w:eastAsia="宋体" w:cs="Times New Roman"/>
                <w:color w:val="auto"/>
                <w:sz w:val="24"/>
                <w:szCs w:val="24"/>
                <w:highlight w:val="none"/>
              </w:rPr>
              <w:t>影响较小，所在区域各环境要素环境质量现状可维持现有水平，不会降低工程区域环境质量，</w:t>
            </w:r>
            <w:r>
              <w:rPr>
                <w:rFonts w:hint="default" w:ascii="Times New Roman" w:hAnsi="Times New Roman" w:eastAsia="宋体" w:cs="Times New Roman"/>
                <w:color w:val="auto"/>
                <w:sz w:val="24"/>
                <w:szCs w:val="24"/>
                <w:highlight w:val="none"/>
                <w:lang w:val="en-US" w:eastAsia="zh-CN"/>
              </w:rPr>
              <w:t>项目的建设</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sz w:val="24"/>
                <w:highlight w:val="none"/>
                <w:lang w:eastAsia="zh-CN"/>
              </w:rPr>
              <w:t>昆政发〔2021〕21号</w:t>
            </w:r>
            <w:r>
              <w:rPr>
                <w:rFonts w:hint="default" w:ascii="Times New Roman" w:hAnsi="Times New Roman" w:eastAsia="宋体" w:cs="Times New Roman"/>
                <w:color w:val="auto"/>
                <w:sz w:val="24"/>
                <w:highlight w:val="none"/>
              </w:rPr>
              <w:t>文中规定的</w:t>
            </w:r>
            <w:r>
              <w:rPr>
                <w:rFonts w:hint="default" w:ascii="Times New Roman" w:hAnsi="Times New Roman" w:eastAsia="宋体" w:cs="Times New Roman"/>
                <w:color w:val="auto"/>
                <w:sz w:val="24"/>
                <w:szCs w:val="24"/>
                <w:highlight w:val="none"/>
              </w:rPr>
              <w:t>环境质量底线要求。</w:t>
            </w:r>
          </w:p>
          <w:p w14:paraId="00C125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（3）资源利用上线</w:t>
            </w:r>
          </w:p>
          <w:p w14:paraId="2412F3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《昆明市人民政府关于昆明市"三线一单" 生态分区管控的实施意见》（</w:t>
            </w:r>
            <w:r>
              <w:rPr>
                <w:rFonts w:hint="default" w:ascii="Times New Roman" w:hAnsi="Times New Roman" w:eastAsia="宋体" w:cs="Times New Roman"/>
                <w:color w:val="auto"/>
                <w:sz w:val="24"/>
                <w:szCs w:val="24"/>
                <w:highlight w:val="none"/>
                <w:lang w:eastAsia="zh-CN"/>
              </w:rPr>
              <w:t>昆政发〔2021〕21号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项目与</w:t>
            </w:r>
            <w:r>
              <w:rPr>
                <w:rFonts w:hint="default" w:ascii="Times New Roman" w:hAnsi="Times New Roman" w:eastAsia="宋体" w:cs="Times New Roman"/>
                <w:color w:val="auto"/>
                <w:sz w:val="24"/>
                <w:szCs w:val="24"/>
                <w:highlight w:val="none"/>
                <w:lang w:eastAsia="zh-CN"/>
              </w:rPr>
              <w:t>昆政发〔2021〕21号</w:t>
            </w:r>
            <w:r>
              <w:rPr>
                <w:rFonts w:hint="default" w:ascii="Times New Roman" w:hAnsi="Times New Roman" w:eastAsia="宋体" w:cs="Times New Roman"/>
                <w:color w:val="auto"/>
                <w:sz w:val="24"/>
                <w:szCs w:val="24"/>
                <w:highlight w:val="none"/>
              </w:rPr>
              <w:t>文中规定的资源利用上线要求</w:t>
            </w:r>
            <w:r>
              <w:rPr>
                <w:rFonts w:hint="default" w:ascii="Times New Roman" w:hAnsi="Times New Roman" w:eastAsia="宋体" w:cs="Times New Roman"/>
                <w:color w:val="auto"/>
                <w:sz w:val="24"/>
                <w:szCs w:val="24"/>
                <w:highlight w:val="none"/>
                <w:lang w:val="en-US" w:eastAsia="zh-CN"/>
              </w:rPr>
              <w:t>如下</w:t>
            </w:r>
            <w:r>
              <w:rPr>
                <w:rFonts w:hint="default" w:ascii="Times New Roman" w:hAnsi="Times New Roman" w:eastAsia="宋体" w:cs="Times New Roman"/>
                <w:color w:val="auto"/>
                <w:sz w:val="24"/>
                <w:szCs w:val="24"/>
                <w:highlight w:val="none"/>
              </w:rPr>
              <w:t>：</w:t>
            </w:r>
          </w:p>
          <w:p w14:paraId="0E7E6E5F">
            <w:pPr>
              <w:spacing w:line="360" w:lineRule="auto"/>
              <w:ind w:firstLine="482"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bCs/>
                <w:color w:val="auto"/>
                <w:sz w:val="24"/>
                <w:szCs w:val="24"/>
                <w:highlight w:val="none"/>
              </w:rPr>
              <w:t>昆政发〔2021〕21号：</w:t>
            </w:r>
            <w:r>
              <w:rPr>
                <w:rFonts w:hint="default" w:ascii="Times New Roman" w:hAnsi="Times New Roman" w:eastAsia="宋体" w:cs="Times New Roman"/>
                <w:color w:val="auto"/>
                <w:sz w:val="24"/>
                <w:szCs w:val="24"/>
                <w:highlight w:val="none"/>
                <w:lang w:val="zh-CN"/>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p w14:paraId="036269FC">
            <w:pPr>
              <w:spacing w:line="360" w:lineRule="auto"/>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本工程情况：</w:t>
            </w:r>
            <w:r>
              <w:rPr>
                <w:rFonts w:hint="default" w:ascii="Times New Roman" w:hAnsi="Times New Roman" w:eastAsia="宋体" w:cs="Times New Roman"/>
                <w:color w:val="auto"/>
                <w:kern w:val="0"/>
                <w:sz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rPr>
              <w:t>，不属于能源开发、利用项目，</w:t>
            </w:r>
            <w:r>
              <w:rPr>
                <w:rFonts w:hint="default" w:ascii="Times New Roman" w:hAnsi="Times New Roman" w:eastAsia="宋体" w:cs="Times New Roman"/>
                <w:color w:val="auto"/>
                <w:sz w:val="24"/>
                <w:szCs w:val="24"/>
                <w:highlight w:val="none"/>
                <w:lang w:val="en-US" w:eastAsia="zh-CN"/>
              </w:rPr>
              <w:t>项目施工期已结束，运营期</w:t>
            </w:r>
            <w:r>
              <w:rPr>
                <w:rFonts w:hint="default" w:ascii="Times New Roman" w:hAnsi="Times New Roman" w:eastAsia="宋体" w:cs="Times New Roman"/>
                <w:color w:val="auto"/>
                <w:sz w:val="24"/>
                <w:szCs w:val="24"/>
                <w:highlight w:val="none"/>
              </w:rPr>
              <w:t>仅消耗少量</w:t>
            </w:r>
            <w:r>
              <w:rPr>
                <w:rFonts w:hint="default" w:ascii="Times New Roman" w:hAnsi="Times New Roman" w:eastAsia="宋体" w:cs="Times New Roman"/>
                <w:color w:val="auto"/>
                <w:sz w:val="24"/>
                <w:szCs w:val="24"/>
                <w:highlight w:val="none"/>
                <w:lang w:val="en-US" w:eastAsia="zh-CN"/>
              </w:rPr>
              <w:t>水资源</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rPr>
              <w:t>耗水量非常小，不会对区域水资源造成影响；</w:t>
            </w:r>
            <w:r>
              <w:rPr>
                <w:rFonts w:hint="default" w:ascii="Times New Roman" w:hAnsi="Times New Roman" w:eastAsia="宋体"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rPr>
              <w:t>工程占地面积较小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整体而言，</w:t>
            </w:r>
            <w:r>
              <w:rPr>
                <w:rFonts w:hint="default" w:ascii="Times New Roman" w:hAnsi="Times New Roman" w:eastAsia="宋体" w:cs="Times New Roman"/>
                <w:color w:val="auto"/>
                <w:sz w:val="24"/>
                <w:szCs w:val="24"/>
                <w:highlight w:val="none"/>
              </w:rPr>
              <w:t>工程建设符合区域资源利用上线要求。</w:t>
            </w:r>
          </w:p>
          <w:p w14:paraId="3D35FF50">
            <w:pPr>
              <w:adjustRightIn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（4）生态环境准入清单</w:t>
            </w:r>
          </w:p>
          <w:p w14:paraId="1A4834B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生态</w:t>
            </w:r>
            <w:r>
              <w:rPr>
                <w:rFonts w:hint="default" w:ascii="Times New Roman" w:hAnsi="Times New Roman" w:eastAsia="宋体" w:cs="Times New Roman"/>
                <w:color w:val="auto"/>
                <w:sz w:val="24"/>
                <w:szCs w:val="24"/>
                <w:highlight w:val="none"/>
              </w:rPr>
              <w:t>环境准入负面清单指基于环境管控单元，统筹考虑生态保护红线、环境质量底线、资源利用上线的管控要求，提出的空间布局、污染物排放、资源开发利用等禁止和限制的环境准入情形。</w:t>
            </w:r>
          </w:p>
          <w:p w14:paraId="4A4A537A">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highlight w:val="none"/>
                <w:lang w:val="en-US" w:eastAsia="zh-CN"/>
              </w:rPr>
              <w:t>项目选址不涉及</w:t>
            </w:r>
            <w:r>
              <w:rPr>
                <w:rFonts w:hint="default" w:ascii="Times New Roman" w:hAnsi="Times New Roman" w:eastAsia="宋体" w:cs="Times New Roman"/>
                <w:color w:val="auto"/>
                <w:kern w:val="0"/>
                <w:sz w:val="24"/>
                <w:highlight w:val="none"/>
              </w:rPr>
              <w:t>自然保护区、风景名胜区、森林公园</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饮用水源地保护区</w:t>
            </w:r>
            <w:r>
              <w:rPr>
                <w:rFonts w:hint="default" w:ascii="Times New Roman" w:hAnsi="Times New Roman" w:eastAsia="宋体" w:cs="Times New Roman"/>
                <w:color w:val="auto"/>
                <w:kern w:val="0"/>
                <w:sz w:val="24"/>
                <w:highlight w:val="none"/>
              </w:rPr>
              <w:t>等</w:t>
            </w:r>
            <w:r>
              <w:rPr>
                <w:rFonts w:hint="default" w:ascii="Times New Roman" w:hAnsi="Times New Roman" w:eastAsia="宋体" w:cs="Times New Roman"/>
                <w:color w:val="auto"/>
                <w:kern w:val="0"/>
                <w:sz w:val="24"/>
                <w:highlight w:val="none"/>
                <w:lang w:val="en-US" w:eastAsia="zh-CN"/>
              </w:rPr>
              <w:t>生态</w:t>
            </w:r>
            <w:r>
              <w:rPr>
                <w:rFonts w:hint="default" w:ascii="Times New Roman" w:hAnsi="Times New Roman" w:eastAsia="宋体" w:cs="Times New Roman"/>
                <w:color w:val="auto"/>
                <w:kern w:val="0"/>
                <w:sz w:val="24"/>
                <w:highlight w:val="none"/>
              </w:rPr>
              <w:t>环境敏感区</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且</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环境影响评价阶段已包含本次评价220kV升压站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根据2024</w:t>
            </w:r>
            <w:r>
              <w:rPr>
                <w:rFonts w:hint="eastAsia"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11</w:t>
            </w:r>
            <w:r>
              <w:rPr>
                <w:rFonts w:hint="eastAsia"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12</w:t>
            </w:r>
            <w:r>
              <w:rPr>
                <w:rFonts w:hint="eastAsia"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lang w:val="en-US" w:eastAsia="zh-CN"/>
              </w:rPr>
              <w:t>昆明市生态环境局禄劝分局关于查询禄劝县岩子头200MW生态修复光伏电站工程涉及“三线一单”情况的复函</w:t>
            </w:r>
            <w:r>
              <w:rPr>
                <w:rFonts w:hint="eastAsia" w:cs="Times New Roman"/>
                <w:color w:val="auto"/>
                <w:sz w:val="24"/>
                <w:szCs w:val="24"/>
                <w:highlight w:val="none"/>
                <w:lang w:val="en-US" w:eastAsia="zh-CN"/>
              </w:rPr>
              <w:t>（详见附件15）</w:t>
            </w:r>
            <w:r>
              <w:rPr>
                <w:rFonts w:hint="default" w:ascii="Times New Roman" w:hAnsi="Times New Roman" w:eastAsia="宋体" w:cs="Times New Roman"/>
                <w:color w:val="auto"/>
                <w:sz w:val="24"/>
                <w:szCs w:val="24"/>
                <w:highlight w:val="none"/>
                <w:lang w:val="en-US" w:eastAsia="zh-CN"/>
              </w:rPr>
              <w:t>，本次评价内容220kV升压站位于禄劝县</w:t>
            </w:r>
            <w:r>
              <w:rPr>
                <w:rFonts w:hint="default" w:ascii="Times New Roman" w:hAnsi="Times New Roman" w:eastAsia="宋体" w:cs="Times New Roman"/>
                <w:color w:val="auto"/>
                <w:sz w:val="24"/>
                <w:szCs w:val="24"/>
                <w:highlight w:val="none"/>
              </w:rPr>
              <w:t>一般管控单元</w:t>
            </w:r>
            <w:r>
              <w:rPr>
                <w:rFonts w:hint="default" w:ascii="Times New Roman" w:hAnsi="Times New Roman" w:eastAsia="宋体" w:cs="Times New Roman"/>
                <w:color w:val="auto"/>
                <w:sz w:val="24"/>
                <w:szCs w:val="24"/>
                <w:highlight w:val="none"/>
                <w:lang w:val="en-US" w:eastAsia="zh-CN"/>
              </w:rPr>
              <w:t>，本次评价内容220kV升压站</w:t>
            </w:r>
            <w:r>
              <w:rPr>
                <w:rFonts w:hint="eastAsia" w:cs="Times New Roman"/>
                <w:color w:val="auto"/>
                <w:sz w:val="24"/>
                <w:szCs w:val="24"/>
                <w:highlight w:val="none"/>
                <w:lang w:val="en-US" w:eastAsia="zh-CN"/>
              </w:rPr>
              <w:t>与与昆明市环境管控单元生态环境总体准入要求符合性分析详见表1-3；项目与</w:t>
            </w:r>
            <w:r>
              <w:rPr>
                <w:rFonts w:hint="default" w:ascii="Times New Roman" w:hAnsi="Times New Roman" w:eastAsia="宋体" w:cs="Times New Roman"/>
                <w:color w:val="auto"/>
                <w:sz w:val="24"/>
                <w:szCs w:val="24"/>
                <w:highlight w:val="none"/>
                <w:lang w:val="en-US" w:eastAsia="zh-CN"/>
              </w:rPr>
              <w:t>禄劝县</w:t>
            </w:r>
            <w:r>
              <w:rPr>
                <w:rFonts w:hint="default" w:ascii="Times New Roman" w:hAnsi="Times New Roman" w:eastAsia="宋体" w:cs="Times New Roman"/>
                <w:color w:val="auto"/>
                <w:sz w:val="24"/>
                <w:szCs w:val="24"/>
                <w:highlight w:val="none"/>
              </w:rPr>
              <w:t>一般管控单元符合性</w:t>
            </w:r>
            <w:r>
              <w:rPr>
                <w:rFonts w:hint="eastAsia" w:cs="Times New Roman"/>
                <w:color w:val="auto"/>
                <w:sz w:val="24"/>
                <w:szCs w:val="24"/>
                <w:highlight w:val="none"/>
                <w:lang w:val="en-US" w:eastAsia="zh-CN"/>
              </w:rPr>
              <w:t>分析</w:t>
            </w:r>
            <w:r>
              <w:rPr>
                <w:rFonts w:hint="default" w:ascii="Times New Roman" w:hAnsi="Times New Roman" w:eastAsia="宋体" w:cs="Times New Roman"/>
                <w:color w:val="auto"/>
                <w:sz w:val="24"/>
                <w:szCs w:val="24"/>
                <w:highlight w:val="none"/>
              </w:rPr>
              <w:t>如表</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所示</w:t>
            </w:r>
            <w:r>
              <w:rPr>
                <w:rFonts w:hint="default" w:ascii="Times New Roman" w:hAnsi="Times New Roman" w:eastAsia="宋体" w:cs="Times New Roman"/>
                <w:color w:val="auto"/>
                <w:sz w:val="24"/>
                <w:szCs w:val="24"/>
                <w:highlight w:val="none"/>
                <w:lang w:eastAsia="zh-CN"/>
              </w:rPr>
              <w:t>。</w:t>
            </w:r>
          </w:p>
          <w:p w14:paraId="300BE149">
            <w:pPr>
              <w:jc w:val="center"/>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bCs/>
                <w:color w:val="auto"/>
                <w:sz w:val="24"/>
                <w:szCs w:val="24"/>
                <w:highlight w:val="none"/>
              </w:rPr>
              <w:t xml:space="preserve">表1-3 </w:t>
            </w:r>
            <w:r>
              <w:rPr>
                <w:rFonts w:hint="default" w:ascii="Times New Roman" w:hAnsi="Times New Roman" w:eastAsia="宋体" w:cs="Times New Roman"/>
                <w:b/>
                <w:bCs/>
                <w:color w:val="auto"/>
                <w:sz w:val="24"/>
                <w:szCs w:val="24"/>
                <w:highlight w:val="none"/>
                <w:lang w:val="en-US" w:eastAsia="zh-CN"/>
              </w:rPr>
              <w:t>项目与</w:t>
            </w:r>
            <w:r>
              <w:rPr>
                <w:rFonts w:hint="default" w:ascii="Times New Roman" w:hAnsi="Times New Roman" w:eastAsia="宋体" w:cs="Times New Roman"/>
                <w:b/>
                <w:bCs/>
                <w:color w:val="auto"/>
                <w:sz w:val="24"/>
                <w:szCs w:val="24"/>
                <w:highlight w:val="none"/>
              </w:rPr>
              <w:t>昆明市环境管控单元生态环境总体准入要求</w:t>
            </w:r>
            <w:r>
              <w:rPr>
                <w:rFonts w:hint="default" w:ascii="Times New Roman" w:hAnsi="Times New Roman" w:eastAsia="宋体" w:cs="Times New Roman"/>
                <w:b/>
                <w:bCs/>
                <w:color w:val="auto"/>
                <w:sz w:val="24"/>
                <w:szCs w:val="24"/>
                <w:highlight w:val="none"/>
                <w:lang w:val="en-US" w:eastAsia="zh-CN"/>
              </w:rPr>
              <w:t>分析</w:t>
            </w:r>
            <w:r>
              <w:rPr>
                <w:rFonts w:hint="default" w:ascii="Times New Roman" w:hAnsi="Times New Roman" w:eastAsia="宋体" w:cs="Times New Roman"/>
                <w:b/>
                <w:bCs/>
                <w:color w:val="auto"/>
                <w:sz w:val="24"/>
                <w:szCs w:val="24"/>
                <w:highlight w:val="none"/>
              </w:rPr>
              <w:t>表</w:t>
            </w:r>
          </w:p>
          <w:tbl>
            <w:tblPr>
              <w:tblStyle w:val="49"/>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0"/>
              <w:gridCol w:w="930"/>
              <w:gridCol w:w="3905"/>
              <w:gridCol w:w="1775"/>
              <w:gridCol w:w="507"/>
            </w:tblGrid>
            <w:tr w14:paraId="4057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00" w:type="dxa"/>
                  <w:shd w:val="clear" w:color="auto" w:fill="auto"/>
                  <w:noWrap w:val="0"/>
                  <w:vAlign w:val="center"/>
                </w:tcPr>
                <w:p w14:paraId="053C8AE8">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b/>
                      <w:color w:val="auto"/>
                      <w:kern w:val="0"/>
                      <w:sz w:val="21"/>
                      <w:szCs w:val="21"/>
                      <w:highlight w:val="none"/>
                    </w:rPr>
                    <w:t>维度</w:t>
                  </w:r>
                </w:p>
              </w:tc>
              <w:tc>
                <w:tcPr>
                  <w:tcW w:w="930" w:type="dxa"/>
                  <w:shd w:val="clear" w:color="auto" w:fill="auto"/>
                  <w:noWrap w:val="0"/>
                  <w:vAlign w:val="center"/>
                </w:tcPr>
                <w:p w14:paraId="1B69AEE2">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b/>
                      <w:color w:val="auto"/>
                      <w:kern w:val="0"/>
                      <w:sz w:val="21"/>
                      <w:szCs w:val="21"/>
                      <w:highlight w:val="none"/>
                    </w:rPr>
                    <w:t>清单编制要求</w:t>
                  </w:r>
                </w:p>
              </w:tc>
              <w:tc>
                <w:tcPr>
                  <w:tcW w:w="3905" w:type="dxa"/>
                  <w:shd w:val="clear" w:color="auto" w:fill="auto"/>
                  <w:noWrap w:val="0"/>
                  <w:vAlign w:val="center"/>
                </w:tcPr>
                <w:p w14:paraId="6E2F123A">
                  <w:pPr>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b/>
                      <w:color w:val="auto"/>
                      <w:kern w:val="0"/>
                      <w:sz w:val="21"/>
                      <w:szCs w:val="21"/>
                      <w:highlight w:val="none"/>
                    </w:rPr>
                    <w:t>准入要求</w:t>
                  </w:r>
                </w:p>
              </w:tc>
              <w:tc>
                <w:tcPr>
                  <w:tcW w:w="1775" w:type="dxa"/>
                  <w:shd w:val="clear" w:color="auto" w:fill="auto"/>
                  <w:noWrap w:val="0"/>
                  <w:vAlign w:val="center"/>
                </w:tcPr>
                <w:p w14:paraId="0904C691">
                  <w:pPr>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jc w:val="center"/>
                    <w:textAlignment w:val="auto"/>
                    <w:rPr>
                      <w:rStyle w:val="300"/>
                      <w:rFonts w:hint="default" w:ascii="Times New Roman" w:hAnsi="Times New Roman" w:eastAsia="宋体" w:cs="Times New Roman"/>
                      <w:b/>
                      <w:color w:val="auto"/>
                      <w:kern w:val="0"/>
                      <w:sz w:val="21"/>
                      <w:szCs w:val="21"/>
                      <w:highlight w:val="none"/>
                      <w:lang w:val="zh-CN"/>
                    </w:rPr>
                  </w:pPr>
                  <w:r>
                    <w:rPr>
                      <w:rStyle w:val="300"/>
                      <w:rFonts w:hint="default" w:ascii="Times New Roman" w:hAnsi="Times New Roman" w:eastAsia="宋体" w:cs="Times New Roman"/>
                      <w:b/>
                      <w:color w:val="auto"/>
                      <w:kern w:val="0"/>
                      <w:sz w:val="21"/>
                      <w:szCs w:val="21"/>
                      <w:highlight w:val="none"/>
                      <w:lang w:val="zh-CN"/>
                    </w:rPr>
                    <w:t>本工程情况</w:t>
                  </w:r>
                </w:p>
              </w:tc>
              <w:tc>
                <w:tcPr>
                  <w:tcW w:w="507" w:type="dxa"/>
                  <w:shd w:val="clear" w:color="auto" w:fill="auto"/>
                  <w:noWrap w:val="0"/>
                  <w:vAlign w:val="center"/>
                </w:tcPr>
                <w:p w14:paraId="41476A50">
                  <w:pPr>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jc w:val="center"/>
                    <w:textAlignment w:val="auto"/>
                    <w:rPr>
                      <w:rStyle w:val="300"/>
                      <w:rFonts w:hint="default" w:ascii="Times New Roman" w:hAnsi="Times New Roman" w:eastAsia="宋体" w:cs="Times New Roman"/>
                      <w:b/>
                      <w:color w:val="auto"/>
                      <w:kern w:val="0"/>
                      <w:sz w:val="21"/>
                      <w:szCs w:val="21"/>
                      <w:highlight w:val="none"/>
                      <w:lang w:val="zh-CN"/>
                    </w:rPr>
                  </w:pPr>
                  <w:r>
                    <w:rPr>
                      <w:rStyle w:val="300"/>
                      <w:rFonts w:hint="default" w:ascii="Times New Roman" w:hAnsi="Times New Roman" w:eastAsia="宋体" w:cs="Times New Roman"/>
                      <w:b/>
                      <w:color w:val="auto"/>
                      <w:kern w:val="0"/>
                      <w:sz w:val="21"/>
                      <w:szCs w:val="21"/>
                      <w:highlight w:val="none"/>
                      <w:lang w:val="zh-CN"/>
                    </w:rPr>
                    <w:t>符合性</w:t>
                  </w:r>
                </w:p>
              </w:tc>
            </w:tr>
            <w:tr w14:paraId="3954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shd w:val="clear" w:color="auto" w:fill="auto"/>
                  <w:noWrap w:val="0"/>
                  <w:vAlign w:val="center"/>
                </w:tcPr>
                <w:p w14:paraId="5F525C73">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空间布局约束</w:t>
                  </w:r>
                </w:p>
              </w:tc>
              <w:tc>
                <w:tcPr>
                  <w:tcW w:w="930" w:type="dxa"/>
                  <w:shd w:val="clear" w:color="auto" w:fill="auto"/>
                  <w:noWrap w:val="0"/>
                  <w:vAlign w:val="center"/>
                </w:tcPr>
                <w:p w14:paraId="5092D0E6">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限制开发建设活动的要求</w:t>
                  </w:r>
                </w:p>
              </w:tc>
              <w:tc>
                <w:tcPr>
                  <w:tcW w:w="3905" w:type="dxa"/>
                  <w:shd w:val="clear" w:color="auto" w:fill="auto"/>
                  <w:noWrap w:val="0"/>
                  <w:vAlign w:val="center"/>
                </w:tcPr>
                <w:p w14:paraId="49156D0F">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lang w:eastAsia="zh-CN"/>
                    </w:rPr>
                  </w:pPr>
                  <w:r>
                    <w:rPr>
                      <w:rStyle w:val="300"/>
                      <w:rFonts w:hint="default" w:ascii="Times New Roman" w:hAnsi="Times New Roman" w:eastAsia="宋体" w:cs="Times New Roman"/>
                      <w:color w:val="auto"/>
                      <w:sz w:val="21"/>
                      <w:szCs w:val="21"/>
                      <w:highlight w:val="none"/>
                    </w:rPr>
                    <w:t>（1）严格控制滇池、螳螂川等水污染严重地区高耗水、高污染行业发展，新建、改建、扩建重点行业建设项目实行主要水污染物排放减量置换</w:t>
                  </w:r>
                  <w:r>
                    <w:rPr>
                      <w:rStyle w:val="300"/>
                      <w:rFonts w:hint="default" w:ascii="Times New Roman" w:hAnsi="Times New Roman" w:eastAsia="宋体" w:cs="Times New Roman"/>
                      <w:color w:val="auto"/>
                      <w:sz w:val="21"/>
                      <w:szCs w:val="21"/>
                      <w:highlight w:val="none"/>
                      <w:lang w:eastAsia="zh-CN"/>
                    </w:rPr>
                    <w:t>。</w:t>
                  </w:r>
                </w:p>
                <w:p w14:paraId="5B081BEC">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rPr>
                    <w:t>（2）牛栏江流域内，严格按照《云南省牛栏江保护条例》相关要求对水环境区进行分区管控。</w:t>
                  </w:r>
                </w:p>
              </w:tc>
              <w:tc>
                <w:tcPr>
                  <w:tcW w:w="1775" w:type="dxa"/>
                  <w:shd w:val="clear" w:color="auto" w:fill="auto"/>
                  <w:noWrap w:val="0"/>
                  <w:vAlign w:val="center"/>
                </w:tcPr>
                <w:p w14:paraId="78FB47A2">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rPr>
                    <w:t>1</w:t>
                  </w:r>
                  <w:r>
                    <w:rPr>
                      <w:rStyle w:val="300"/>
                      <w:rFonts w:hint="default" w:ascii="Times New Roman" w:hAnsi="Times New Roman" w:eastAsia="宋体" w:cs="Times New Roman"/>
                      <w:color w:val="auto"/>
                      <w:sz w:val="21"/>
                      <w:szCs w:val="21"/>
                      <w:highlight w:val="none"/>
                      <w:lang w:val="zh-CN"/>
                    </w:rPr>
                    <w:t>）本工程为输变电工程，不属于高污染、高耗水行业。</w:t>
                  </w:r>
                </w:p>
                <w:p w14:paraId="371F3DC6">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rPr>
                    <w:t>2</w:t>
                  </w: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lang w:val="en-US" w:eastAsia="zh-CN"/>
                    </w:rPr>
                    <w:t>本项目</w:t>
                  </w:r>
                  <w:r>
                    <w:rPr>
                      <w:rStyle w:val="300"/>
                      <w:rFonts w:hint="default" w:ascii="Times New Roman" w:hAnsi="Times New Roman" w:eastAsia="宋体" w:cs="Times New Roman"/>
                      <w:color w:val="auto"/>
                      <w:sz w:val="21"/>
                      <w:szCs w:val="21"/>
                      <w:highlight w:val="none"/>
                      <w:lang w:val="zh-CN"/>
                    </w:rPr>
                    <w:t>不涉及牛栏江流域。</w:t>
                  </w:r>
                </w:p>
              </w:tc>
              <w:tc>
                <w:tcPr>
                  <w:tcW w:w="507" w:type="dxa"/>
                  <w:shd w:val="clear" w:color="auto" w:fill="auto"/>
                  <w:noWrap w:val="0"/>
                  <w:vAlign w:val="center"/>
                </w:tcPr>
                <w:p w14:paraId="227D3F17">
                  <w:pPr>
                    <w:keepNext w:val="0"/>
                    <w:keepLines w:val="0"/>
                    <w:pageBreakBefore w:val="0"/>
                    <w:widowControl w:val="0"/>
                    <w:tabs>
                      <w:tab w:val="left" w:pos="278"/>
                    </w:tabs>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r w14:paraId="1950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vMerge w:val="restart"/>
                  <w:shd w:val="clear" w:color="auto" w:fill="auto"/>
                  <w:noWrap w:val="0"/>
                  <w:vAlign w:val="center"/>
                </w:tcPr>
                <w:p w14:paraId="1C95FEA9">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污染物排放管控</w:t>
                  </w:r>
                </w:p>
              </w:tc>
              <w:tc>
                <w:tcPr>
                  <w:tcW w:w="930" w:type="dxa"/>
                  <w:shd w:val="clear" w:color="auto" w:fill="auto"/>
                  <w:noWrap w:val="0"/>
                  <w:vAlign w:val="center"/>
                </w:tcPr>
                <w:p w14:paraId="294D4E88">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Style w:val="300"/>
                      <w:rFonts w:hint="default" w:ascii="Times New Roman" w:hAnsi="Times New Roman" w:eastAsia="宋体" w:cs="Times New Roman"/>
                      <w:color w:val="auto"/>
                      <w:kern w:val="0"/>
                      <w:sz w:val="21"/>
                      <w:szCs w:val="21"/>
                      <w:highlight w:val="none"/>
                    </w:rPr>
                  </w:pPr>
                  <w:r>
                    <w:rPr>
                      <w:rStyle w:val="300"/>
                      <w:rFonts w:hint="default" w:ascii="Times New Roman" w:hAnsi="Times New Roman" w:eastAsia="宋体" w:cs="Times New Roman"/>
                      <w:color w:val="auto"/>
                      <w:kern w:val="0"/>
                      <w:sz w:val="21"/>
                      <w:szCs w:val="21"/>
                      <w:highlight w:val="none"/>
                    </w:rPr>
                    <w:t>允许排放</w:t>
                  </w:r>
                </w:p>
                <w:p w14:paraId="2219A85B">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要求</w:t>
                  </w:r>
                </w:p>
              </w:tc>
              <w:tc>
                <w:tcPr>
                  <w:tcW w:w="3905" w:type="dxa"/>
                  <w:shd w:val="clear" w:color="auto" w:fill="auto"/>
                  <w:noWrap w:val="0"/>
                  <w:vAlign w:val="center"/>
                </w:tcPr>
                <w:p w14:paraId="3013CF16">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rPr>
                  </w:pPr>
                  <w:r>
                    <w:rPr>
                      <w:rStyle w:val="300"/>
                      <w:rFonts w:hint="default" w:ascii="Times New Roman" w:hAnsi="Times New Roman" w:eastAsia="宋体" w:cs="Times New Roman"/>
                      <w:color w:val="auto"/>
                      <w:kern w:val="0"/>
                      <w:sz w:val="21"/>
                      <w:szCs w:val="21"/>
                      <w:highlight w:val="none"/>
                    </w:rPr>
                    <w:t>（1）区域内COD允许排放量不得超过1.44万吨，氨氮允许排放量不得超过0.50万吨</w:t>
                  </w:r>
                </w:p>
                <w:p w14:paraId="5398BB51">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rPr>
                    <w:t>（2）环境空气质量总体保持</w:t>
                  </w:r>
                  <w:r>
                    <w:rPr>
                      <w:rStyle w:val="300"/>
                      <w:rFonts w:hint="default" w:ascii="Times New Roman" w:hAnsi="Times New Roman" w:eastAsia="宋体" w:cs="Times New Roman"/>
                      <w:color w:val="auto"/>
                      <w:kern w:val="0"/>
                      <w:sz w:val="21"/>
                      <w:szCs w:val="21"/>
                      <w:highlight w:val="none"/>
                    </w:rPr>
                    <w:t>优良</w:t>
                  </w:r>
                  <w:r>
                    <w:rPr>
                      <w:rStyle w:val="300"/>
                      <w:rFonts w:hint="default" w:ascii="Times New Roman" w:hAnsi="Times New Roman" w:eastAsia="宋体" w:cs="Times New Roman"/>
                      <w:color w:val="auto"/>
                      <w:sz w:val="21"/>
                      <w:szCs w:val="21"/>
                      <w:highlight w:val="none"/>
                    </w:rPr>
                    <w:t>，</w:t>
                  </w:r>
                  <w:r>
                    <w:rPr>
                      <w:rStyle w:val="300"/>
                      <w:rFonts w:hint="default" w:ascii="Times New Roman" w:hAnsi="Times New Roman" w:eastAsia="宋体" w:cs="Times New Roman"/>
                      <w:color w:val="auto"/>
                      <w:kern w:val="0"/>
                      <w:sz w:val="21"/>
                      <w:szCs w:val="21"/>
                      <w:highlight w:val="none"/>
                    </w:rPr>
                    <w:t>区域内二氧化硫排放量控制在10.06万吨</w:t>
                  </w:r>
                  <w:r>
                    <w:rPr>
                      <w:rStyle w:val="300"/>
                      <w:rFonts w:hint="default" w:ascii="Times New Roman" w:hAnsi="Times New Roman" w:eastAsia="宋体" w:cs="Times New Roman"/>
                      <w:color w:val="auto"/>
                      <w:sz w:val="21"/>
                      <w:szCs w:val="21"/>
                      <w:highlight w:val="none"/>
                    </w:rPr>
                    <w:t>/年以下</w:t>
                  </w:r>
                  <w:r>
                    <w:rPr>
                      <w:rStyle w:val="300"/>
                      <w:rFonts w:hint="default" w:ascii="Times New Roman" w:hAnsi="Times New Roman" w:eastAsia="宋体" w:cs="Times New Roman"/>
                      <w:color w:val="auto"/>
                      <w:kern w:val="0"/>
                      <w:sz w:val="21"/>
                      <w:szCs w:val="21"/>
                      <w:highlight w:val="none"/>
                    </w:rPr>
                    <w:t>、氮氧化物排放量控制在9.32万吨</w:t>
                  </w:r>
                  <w:r>
                    <w:rPr>
                      <w:rStyle w:val="300"/>
                      <w:rFonts w:hint="default" w:ascii="Times New Roman" w:hAnsi="Times New Roman" w:eastAsia="宋体" w:cs="Times New Roman"/>
                      <w:color w:val="auto"/>
                      <w:sz w:val="21"/>
                      <w:szCs w:val="21"/>
                      <w:highlight w:val="none"/>
                    </w:rPr>
                    <w:t>/年以下</w:t>
                  </w:r>
                  <w:r>
                    <w:rPr>
                      <w:rStyle w:val="300"/>
                      <w:rFonts w:hint="default" w:ascii="Times New Roman" w:hAnsi="Times New Roman" w:eastAsia="宋体" w:cs="Times New Roman"/>
                      <w:color w:val="auto"/>
                      <w:kern w:val="0"/>
                      <w:sz w:val="21"/>
                      <w:szCs w:val="21"/>
                      <w:highlight w:val="none"/>
                    </w:rPr>
                    <w:t>。</w:t>
                  </w:r>
                </w:p>
              </w:tc>
              <w:tc>
                <w:tcPr>
                  <w:tcW w:w="1775" w:type="dxa"/>
                  <w:shd w:val="clear" w:color="auto" w:fill="auto"/>
                  <w:noWrap w:val="0"/>
                  <w:vAlign w:val="center"/>
                </w:tcPr>
                <w:p w14:paraId="70C2C2B2">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rPr>
                  </w:pP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rPr>
                    <w:t>1</w:t>
                  </w:r>
                  <w:r>
                    <w:rPr>
                      <w:rStyle w:val="300"/>
                      <w:rFonts w:hint="default" w:ascii="Times New Roman" w:hAnsi="Times New Roman" w:eastAsia="宋体" w:cs="Times New Roman"/>
                      <w:color w:val="auto"/>
                      <w:sz w:val="21"/>
                      <w:szCs w:val="21"/>
                      <w:highlight w:val="none"/>
                      <w:lang w:val="zh-CN"/>
                    </w:rPr>
                    <w:t>）工程运营期</w:t>
                  </w:r>
                  <w:r>
                    <w:rPr>
                      <w:rStyle w:val="300"/>
                      <w:rFonts w:hint="default" w:ascii="Times New Roman" w:hAnsi="Times New Roman" w:eastAsia="宋体" w:cs="Times New Roman"/>
                      <w:color w:val="auto"/>
                      <w:sz w:val="21"/>
                      <w:szCs w:val="21"/>
                      <w:highlight w:val="none"/>
                      <w:lang w:val="en-US" w:eastAsia="zh-CN"/>
                    </w:rPr>
                    <w:t>废水经处理后回用，不外排</w:t>
                  </w:r>
                  <w:r>
                    <w:rPr>
                      <w:rStyle w:val="300"/>
                      <w:rFonts w:hint="default" w:ascii="Times New Roman" w:hAnsi="Times New Roman" w:eastAsia="宋体" w:cs="Times New Roman"/>
                      <w:color w:val="auto"/>
                      <w:sz w:val="21"/>
                      <w:szCs w:val="21"/>
                      <w:highlight w:val="none"/>
                    </w:rPr>
                    <w:t>。</w:t>
                  </w:r>
                </w:p>
                <w:p w14:paraId="627A61B2">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rPr>
                    <w:t>2</w:t>
                  </w:r>
                  <w:r>
                    <w:rPr>
                      <w:rStyle w:val="300"/>
                      <w:rFonts w:hint="default" w:ascii="Times New Roman" w:hAnsi="Times New Roman" w:eastAsia="宋体" w:cs="Times New Roman"/>
                      <w:color w:val="auto"/>
                      <w:sz w:val="21"/>
                      <w:szCs w:val="21"/>
                      <w:highlight w:val="none"/>
                      <w:lang w:val="zh-CN"/>
                    </w:rPr>
                    <w:t>）本工程运营期不涉及二氧化硫、氮氧化物排放。</w:t>
                  </w:r>
                </w:p>
              </w:tc>
              <w:tc>
                <w:tcPr>
                  <w:tcW w:w="507" w:type="dxa"/>
                  <w:shd w:val="clear" w:color="auto" w:fill="auto"/>
                  <w:noWrap w:val="0"/>
                  <w:vAlign w:val="center"/>
                </w:tcPr>
                <w:p w14:paraId="538DFB8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r w14:paraId="2314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vMerge w:val="continue"/>
                  <w:shd w:val="clear" w:color="auto" w:fill="auto"/>
                  <w:noWrap w:val="0"/>
                  <w:vAlign w:val="center"/>
                </w:tcPr>
                <w:p w14:paraId="6E5FC5CA">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p>
              </w:tc>
              <w:tc>
                <w:tcPr>
                  <w:tcW w:w="930" w:type="dxa"/>
                  <w:shd w:val="clear" w:color="auto" w:fill="auto"/>
                  <w:noWrap w:val="0"/>
                  <w:vAlign w:val="center"/>
                </w:tcPr>
                <w:p w14:paraId="1BA62845">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现有提升及改造</w:t>
                  </w:r>
                </w:p>
              </w:tc>
              <w:tc>
                <w:tcPr>
                  <w:tcW w:w="3905" w:type="dxa"/>
                  <w:shd w:val="clear" w:color="auto" w:fill="auto"/>
                  <w:noWrap w:val="0"/>
                  <w:vAlign w:val="center"/>
                </w:tcPr>
                <w:p w14:paraId="193939F8">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rPr>
                  </w:pPr>
                  <w:r>
                    <w:rPr>
                      <w:rStyle w:val="300"/>
                      <w:rFonts w:hint="default" w:ascii="Times New Roman" w:hAnsi="Times New Roman" w:eastAsia="宋体" w:cs="Times New Roman"/>
                      <w:color w:val="auto"/>
                      <w:kern w:val="0"/>
                      <w:sz w:val="21"/>
                      <w:szCs w:val="21"/>
                      <w:highlight w:val="none"/>
                    </w:rPr>
                    <w:t>（1）主城建成区生活垃圾无害化处理率达到100%，县城（建成区）生活垃圾无害化处理率达到80%以上，建制镇生活垃圾无害化处理率达到70%以上，特殊困难地区可适当放宽。工业固体废物处置利用率95%以上，秸秆综合利用率达到90%以上</w:t>
                  </w:r>
                </w:p>
                <w:p w14:paraId="3FA5CA98">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2）按国家、省、市相关标准要求建设、改造、提升满足实际需求的生活垃圾处理厂（场）、粪便处理厂、厨余垃圾处理厂、建筑垃圾（渣土）处理场、垃圾转运站、公共厕所、生活垃圾分类设施等环卫基础设施。</w:t>
                  </w:r>
                </w:p>
              </w:tc>
              <w:tc>
                <w:tcPr>
                  <w:tcW w:w="1775" w:type="dxa"/>
                  <w:shd w:val="clear" w:color="auto" w:fill="auto"/>
                  <w:noWrap w:val="0"/>
                  <w:vAlign w:val="center"/>
                </w:tcPr>
                <w:p w14:paraId="10FEFFA6">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lang w:val="zh-CN" w:eastAsia="zh-CN"/>
                    </w:rPr>
                  </w:pP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rPr>
                    <w:t>1</w:t>
                  </w: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lang w:val="en-US" w:eastAsia="zh-CN"/>
                    </w:rPr>
                    <w:t>本项目</w:t>
                  </w:r>
                  <w:r>
                    <w:rPr>
                      <w:rStyle w:val="300"/>
                      <w:rFonts w:hint="default" w:ascii="Times New Roman" w:hAnsi="Times New Roman" w:eastAsia="宋体" w:cs="Times New Roman"/>
                      <w:color w:val="auto"/>
                      <w:sz w:val="21"/>
                      <w:szCs w:val="21"/>
                      <w:highlight w:val="none"/>
                    </w:rPr>
                    <w:t>不涉及</w:t>
                  </w:r>
                  <w:r>
                    <w:rPr>
                      <w:rStyle w:val="300"/>
                      <w:rFonts w:hint="default" w:ascii="Times New Roman" w:hAnsi="Times New Roman" w:eastAsia="宋体" w:cs="Times New Roman"/>
                      <w:color w:val="auto"/>
                      <w:sz w:val="21"/>
                      <w:szCs w:val="21"/>
                      <w:highlight w:val="none"/>
                      <w:lang w:eastAsia="zh-CN"/>
                    </w:rPr>
                    <w:t>；</w:t>
                  </w:r>
                </w:p>
                <w:p w14:paraId="42EA2842">
                  <w:pPr>
                    <w:keepNext w:val="0"/>
                    <w:keepLines w:val="0"/>
                    <w:pageBreakBefore w:val="0"/>
                    <w:widowControl w:val="0"/>
                    <w:tabs>
                      <w:tab w:val="left" w:pos="278"/>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rPr>
                    <w:t>2</w:t>
                  </w:r>
                  <w:r>
                    <w:rPr>
                      <w:rStyle w:val="300"/>
                      <w:rFonts w:hint="default" w:ascii="Times New Roman" w:hAnsi="Times New Roman" w:eastAsia="宋体" w:cs="Times New Roman"/>
                      <w:color w:val="auto"/>
                      <w:sz w:val="21"/>
                      <w:szCs w:val="21"/>
                      <w:highlight w:val="none"/>
                      <w:lang w:val="zh-CN"/>
                    </w:rPr>
                    <w:t>）</w:t>
                  </w:r>
                  <w:r>
                    <w:rPr>
                      <w:rStyle w:val="300"/>
                      <w:rFonts w:hint="default" w:ascii="Times New Roman" w:hAnsi="Times New Roman" w:eastAsia="宋体" w:cs="Times New Roman"/>
                      <w:color w:val="auto"/>
                      <w:sz w:val="21"/>
                      <w:szCs w:val="21"/>
                      <w:highlight w:val="none"/>
                      <w:lang w:val="en-US" w:eastAsia="zh-CN"/>
                    </w:rPr>
                    <w:t>本项目</w:t>
                  </w:r>
                  <w:r>
                    <w:rPr>
                      <w:rStyle w:val="300"/>
                      <w:rFonts w:hint="default" w:ascii="Times New Roman" w:hAnsi="Times New Roman" w:eastAsia="宋体" w:cs="Times New Roman"/>
                      <w:color w:val="auto"/>
                      <w:sz w:val="21"/>
                      <w:szCs w:val="21"/>
                      <w:highlight w:val="none"/>
                      <w:lang w:val="zh-CN"/>
                    </w:rPr>
                    <w:t>不涉及；</w:t>
                  </w:r>
                </w:p>
              </w:tc>
              <w:tc>
                <w:tcPr>
                  <w:tcW w:w="507" w:type="dxa"/>
                  <w:shd w:val="clear" w:color="auto" w:fill="auto"/>
                  <w:noWrap w:val="0"/>
                  <w:vAlign w:val="center"/>
                </w:tcPr>
                <w:p w14:paraId="30F10BB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r w14:paraId="36DE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shd w:val="clear" w:color="auto" w:fill="auto"/>
                  <w:noWrap w:val="0"/>
                  <w:vAlign w:val="center"/>
                </w:tcPr>
                <w:p w14:paraId="2143FE61">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环境风险防控</w:t>
                  </w:r>
                </w:p>
              </w:tc>
              <w:tc>
                <w:tcPr>
                  <w:tcW w:w="930" w:type="dxa"/>
                  <w:shd w:val="clear" w:color="auto" w:fill="auto"/>
                  <w:noWrap w:val="0"/>
                  <w:vAlign w:val="center"/>
                </w:tcPr>
                <w:p w14:paraId="5B7BB28F">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联防联控要求</w:t>
                  </w:r>
                </w:p>
              </w:tc>
              <w:tc>
                <w:tcPr>
                  <w:tcW w:w="3905" w:type="dxa"/>
                  <w:shd w:val="clear" w:color="auto" w:fill="auto"/>
                  <w:noWrap w:val="0"/>
                  <w:vAlign w:val="center"/>
                </w:tcPr>
                <w:p w14:paraId="5E958164">
                  <w:pPr>
                    <w:keepNext w:val="0"/>
                    <w:keepLines w:val="0"/>
                    <w:pageBreakBefore w:val="0"/>
                    <w:widowControl w:val="0"/>
                    <w:numPr>
                      <w:ilvl w:val="0"/>
                      <w:numId w:val="2"/>
                    </w:numPr>
                    <w:tabs>
                      <w:tab w:val="left" w:pos="252"/>
                    </w:tabs>
                    <w:kinsoku/>
                    <w:wordWrap/>
                    <w:overflowPunct/>
                    <w:topLinePunct w:val="0"/>
                    <w:autoSpaceDE/>
                    <w:autoSpaceDN/>
                    <w:bidi w:val="0"/>
                    <w:adjustRightInd/>
                    <w:snapToGrid/>
                    <w:spacing w:line="276" w:lineRule="auto"/>
                    <w:ind w:left="0" w:firstLine="0"/>
                    <w:textAlignment w:val="auto"/>
                    <w:rPr>
                      <w:rStyle w:val="300"/>
                      <w:rFonts w:hint="default" w:ascii="Times New Roman" w:hAnsi="Times New Roman" w:eastAsia="宋体" w:cs="Times New Roman"/>
                      <w:color w:val="auto"/>
                      <w:kern w:val="0"/>
                      <w:sz w:val="21"/>
                      <w:szCs w:val="21"/>
                      <w:highlight w:val="none"/>
                    </w:rPr>
                  </w:pPr>
                  <w:r>
                    <w:rPr>
                      <w:rStyle w:val="300"/>
                      <w:rFonts w:hint="default" w:ascii="Times New Roman" w:hAnsi="Times New Roman" w:eastAsia="宋体" w:cs="Times New Roman"/>
                      <w:color w:val="auto"/>
                      <w:kern w:val="0"/>
                      <w:sz w:val="21"/>
                      <w:szCs w:val="21"/>
                      <w:highlight w:val="none"/>
                    </w:rPr>
                    <w:t>严格控制长江、珠江两大水系干流沿岸和滇池、阳宗海流域的石化、化工、有色金属冶炼等项目环境风险，合理布局生产装置及危险化学品仓储等设施。</w:t>
                  </w:r>
                </w:p>
                <w:p w14:paraId="231C83D1">
                  <w:pPr>
                    <w:keepNext w:val="0"/>
                    <w:keepLines w:val="0"/>
                    <w:pageBreakBefore w:val="0"/>
                    <w:widowControl w:val="0"/>
                    <w:numPr>
                      <w:ilvl w:val="0"/>
                      <w:numId w:val="2"/>
                    </w:numPr>
                    <w:tabs>
                      <w:tab w:val="left" w:pos="252"/>
                    </w:tabs>
                    <w:kinsoku/>
                    <w:wordWrap/>
                    <w:overflowPunct/>
                    <w:topLinePunct w:val="0"/>
                    <w:autoSpaceDE/>
                    <w:autoSpaceDN/>
                    <w:bidi w:val="0"/>
                    <w:adjustRightInd/>
                    <w:snapToGrid/>
                    <w:spacing w:line="276" w:lineRule="auto"/>
                    <w:ind w:left="0" w:firstLine="0"/>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强化与其他滇中城市的大气污染防治联防联控协作机制，加强区域内重污染天气应急联动。</w:t>
                  </w:r>
                </w:p>
              </w:tc>
              <w:tc>
                <w:tcPr>
                  <w:tcW w:w="1775" w:type="dxa"/>
                  <w:shd w:val="clear" w:color="auto" w:fill="auto"/>
                  <w:noWrap w:val="0"/>
                  <w:vAlign w:val="center"/>
                </w:tcPr>
                <w:p w14:paraId="689612C8">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lang w:val="zh-CN"/>
                    </w:rPr>
                  </w:pPr>
                  <w:r>
                    <w:rPr>
                      <w:rStyle w:val="300"/>
                      <w:rFonts w:hint="default" w:ascii="Times New Roman" w:hAnsi="Times New Roman" w:eastAsia="宋体" w:cs="Times New Roman"/>
                      <w:color w:val="auto"/>
                      <w:kern w:val="0"/>
                      <w:sz w:val="21"/>
                      <w:szCs w:val="21"/>
                      <w:highlight w:val="none"/>
                      <w:lang w:val="zh-CN"/>
                    </w:rPr>
                    <w:t>（</w:t>
                  </w:r>
                  <w:r>
                    <w:rPr>
                      <w:rStyle w:val="300"/>
                      <w:rFonts w:hint="default" w:ascii="Times New Roman" w:hAnsi="Times New Roman" w:eastAsia="宋体" w:cs="Times New Roman"/>
                      <w:color w:val="auto"/>
                      <w:kern w:val="0"/>
                      <w:sz w:val="21"/>
                      <w:szCs w:val="21"/>
                      <w:highlight w:val="none"/>
                    </w:rPr>
                    <w:t>1</w:t>
                  </w:r>
                  <w:r>
                    <w:rPr>
                      <w:rStyle w:val="300"/>
                      <w:rFonts w:hint="default" w:ascii="Times New Roman" w:hAnsi="Times New Roman" w:eastAsia="宋体" w:cs="Times New Roman"/>
                      <w:color w:val="auto"/>
                      <w:kern w:val="0"/>
                      <w:sz w:val="21"/>
                      <w:szCs w:val="21"/>
                      <w:highlight w:val="none"/>
                      <w:lang w:val="zh-CN"/>
                    </w:rPr>
                    <w:t>）本工程不属于石化、化工、有色金属冶炼等项目环境风险行业。</w:t>
                  </w:r>
                </w:p>
                <w:p w14:paraId="15907C37">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lang w:val="zh-CN"/>
                    </w:rPr>
                  </w:pPr>
                  <w:r>
                    <w:rPr>
                      <w:rStyle w:val="300"/>
                      <w:rFonts w:hint="default" w:ascii="Times New Roman" w:hAnsi="Times New Roman" w:eastAsia="宋体" w:cs="Times New Roman"/>
                      <w:color w:val="auto"/>
                      <w:kern w:val="0"/>
                      <w:sz w:val="21"/>
                      <w:szCs w:val="21"/>
                      <w:highlight w:val="none"/>
                      <w:lang w:val="zh-CN"/>
                    </w:rPr>
                    <w:t>（</w:t>
                  </w:r>
                  <w:r>
                    <w:rPr>
                      <w:rStyle w:val="300"/>
                      <w:rFonts w:hint="default" w:ascii="Times New Roman" w:hAnsi="Times New Roman" w:eastAsia="宋体" w:cs="Times New Roman"/>
                      <w:color w:val="auto"/>
                      <w:kern w:val="0"/>
                      <w:sz w:val="21"/>
                      <w:szCs w:val="21"/>
                      <w:highlight w:val="none"/>
                    </w:rPr>
                    <w:t>2</w:t>
                  </w:r>
                  <w:r>
                    <w:rPr>
                      <w:rStyle w:val="300"/>
                      <w:rFonts w:hint="default" w:ascii="Times New Roman" w:hAnsi="Times New Roman" w:eastAsia="宋体" w:cs="Times New Roman"/>
                      <w:color w:val="auto"/>
                      <w:kern w:val="0"/>
                      <w:sz w:val="21"/>
                      <w:szCs w:val="21"/>
                      <w:highlight w:val="none"/>
                      <w:lang w:val="zh-CN"/>
                    </w:rPr>
                    <w:t>）</w:t>
                  </w:r>
                  <w:r>
                    <w:rPr>
                      <w:rStyle w:val="300"/>
                      <w:rFonts w:hint="default" w:ascii="Times New Roman" w:hAnsi="Times New Roman" w:eastAsia="宋体" w:cs="Times New Roman"/>
                      <w:color w:val="auto"/>
                      <w:kern w:val="0"/>
                      <w:sz w:val="21"/>
                      <w:szCs w:val="21"/>
                      <w:highlight w:val="none"/>
                      <w:lang w:val="en-US" w:eastAsia="zh-CN"/>
                    </w:rPr>
                    <w:t>本项目不涉及</w:t>
                  </w:r>
                  <w:r>
                    <w:rPr>
                      <w:rStyle w:val="300"/>
                      <w:rFonts w:hint="default" w:ascii="Times New Roman" w:hAnsi="Times New Roman" w:eastAsia="宋体" w:cs="Times New Roman"/>
                      <w:color w:val="auto"/>
                      <w:kern w:val="0"/>
                      <w:sz w:val="21"/>
                      <w:szCs w:val="21"/>
                      <w:highlight w:val="none"/>
                      <w:lang w:val="zh-CN"/>
                    </w:rPr>
                    <w:t>。</w:t>
                  </w:r>
                </w:p>
              </w:tc>
              <w:tc>
                <w:tcPr>
                  <w:tcW w:w="507" w:type="dxa"/>
                  <w:shd w:val="clear" w:color="auto" w:fill="auto"/>
                  <w:noWrap w:val="0"/>
                  <w:vAlign w:val="center"/>
                </w:tcPr>
                <w:p w14:paraId="5385417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kern w:val="0"/>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r w14:paraId="1E4A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vMerge w:val="restart"/>
                  <w:shd w:val="clear" w:color="auto" w:fill="auto"/>
                  <w:noWrap w:val="0"/>
                  <w:vAlign w:val="center"/>
                </w:tcPr>
                <w:p w14:paraId="688CFD58">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p>
                <w:p w14:paraId="3885589C">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p>
                <w:p w14:paraId="11E87E05">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资源利用效率</w:t>
                  </w:r>
                </w:p>
              </w:tc>
              <w:tc>
                <w:tcPr>
                  <w:tcW w:w="930" w:type="dxa"/>
                  <w:shd w:val="clear" w:color="auto" w:fill="auto"/>
                  <w:noWrap w:val="0"/>
                  <w:vAlign w:val="center"/>
                </w:tcPr>
                <w:p w14:paraId="14EA68AC">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水资源利用效率要求</w:t>
                  </w:r>
                </w:p>
              </w:tc>
              <w:tc>
                <w:tcPr>
                  <w:tcW w:w="3905" w:type="dxa"/>
                  <w:shd w:val="clear" w:color="auto" w:fill="auto"/>
                  <w:noWrap w:val="0"/>
                  <w:vAlign w:val="center"/>
                </w:tcPr>
                <w:p w14:paraId="6448059C">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水资源利用效率持续提高，完成省级下达的水资源利用效率目标要求。</w:t>
                  </w:r>
                </w:p>
              </w:tc>
              <w:tc>
                <w:tcPr>
                  <w:tcW w:w="1775" w:type="dxa"/>
                  <w:shd w:val="clear" w:color="auto" w:fill="auto"/>
                  <w:noWrap w:val="0"/>
                  <w:vAlign w:val="center"/>
                </w:tcPr>
                <w:p w14:paraId="5E2439AF">
                  <w:pPr>
                    <w:keepNext w:val="0"/>
                    <w:keepLines w:val="0"/>
                    <w:pageBreakBefore w:val="0"/>
                    <w:widowControl w:val="0"/>
                    <w:tabs>
                      <w:tab w:val="left" w:pos="252"/>
                    </w:tabs>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kern w:val="0"/>
                      <w:sz w:val="21"/>
                      <w:szCs w:val="21"/>
                      <w:highlight w:val="none"/>
                    </w:rPr>
                  </w:pPr>
                  <w:r>
                    <w:rPr>
                      <w:rStyle w:val="300"/>
                      <w:rFonts w:hint="default" w:ascii="Times New Roman" w:hAnsi="Times New Roman" w:eastAsia="宋体" w:cs="Times New Roman"/>
                      <w:color w:val="auto"/>
                      <w:kern w:val="0"/>
                      <w:sz w:val="21"/>
                      <w:szCs w:val="21"/>
                      <w:highlight w:val="none"/>
                      <w:lang w:val="zh-CN"/>
                    </w:rPr>
                    <w:t>本工程</w:t>
                  </w:r>
                  <w:r>
                    <w:rPr>
                      <w:rStyle w:val="300"/>
                      <w:rFonts w:hint="default" w:ascii="Times New Roman" w:hAnsi="Times New Roman" w:eastAsia="宋体" w:cs="Times New Roman"/>
                      <w:color w:val="auto"/>
                      <w:kern w:val="0"/>
                      <w:sz w:val="21"/>
                      <w:szCs w:val="21"/>
                      <w:highlight w:val="none"/>
                    </w:rPr>
                    <w:t>运营期水</w:t>
                  </w:r>
                  <w:r>
                    <w:rPr>
                      <w:rStyle w:val="300"/>
                      <w:rFonts w:hint="default" w:ascii="Times New Roman" w:hAnsi="Times New Roman" w:eastAsia="宋体" w:cs="Times New Roman"/>
                      <w:color w:val="auto"/>
                      <w:kern w:val="0"/>
                      <w:sz w:val="21"/>
                      <w:szCs w:val="21"/>
                      <w:highlight w:val="none"/>
                      <w:lang w:val="en-US" w:eastAsia="zh-CN"/>
                    </w:rPr>
                    <w:t>资源消</w:t>
                  </w:r>
                  <w:r>
                    <w:rPr>
                      <w:rStyle w:val="300"/>
                      <w:rFonts w:hint="default" w:ascii="Times New Roman" w:hAnsi="Times New Roman" w:eastAsia="宋体" w:cs="Times New Roman"/>
                      <w:color w:val="auto"/>
                      <w:kern w:val="0"/>
                      <w:sz w:val="21"/>
                      <w:szCs w:val="21"/>
                      <w:highlight w:val="none"/>
                    </w:rPr>
                    <w:t>耗</w:t>
                  </w:r>
                  <w:r>
                    <w:rPr>
                      <w:rStyle w:val="300"/>
                      <w:rFonts w:hint="default" w:ascii="Times New Roman" w:hAnsi="Times New Roman" w:eastAsia="宋体" w:cs="Times New Roman"/>
                      <w:color w:val="auto"/>
                      <w:kern w:val="0"/>
                      <w:sz w:val="21"/>
                      <w:szCs w:val="21"/>
                      <w:highlight w:val="none"/>
                      <w:lang w:val="en-US" w:eastAsia="zh-CN"/>
                    </w:rPr>
                    <w:t>仅为职工生活用水</w:t>
                  </w:r>
                  <w:r>
                    <w:rPr>
                      <w:rStyle w:val="300"/>
                      <w:rFonts w:hint="default" w:ascii="Times New Roman" w:hAnsi="Times New Roman" w:eastAsia="宋体" w:cs="Times New Roman"/>
                      <w:color w:val="auto"/>
                      <w:kern w:val="0"/>
                      <w:sz w:val="21"/>
                      <w:szCs w:val="21"/>
                      <w:highlight w:val="none"/>
                    </w:rPr>
                    <w:t>。</w:t>
                  </w:r>
                </w:p>
              </w:tc>
              <w:tc>
                <w:tcPr>
                  <w:tcW w:w="507" w:type="dxa"/>
                  <w:shd w:val="clear" w:color="auto" w:fill="auto"/>
                  <w:noWrap w:val="0"/>
                  <w:vAlign w:val="center"/>
                </w:tcPr>
                <w:p w14:paraId="62AA7E7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r w14:paraId="56FA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vMerge w:val="continue"/>
                  <w:shd w:val="clear" w:color="auto" w:fill="auto"/>
                  <w:noWrap w:val="0"/>
                  <w:vAlign w:val="center"/>
                </w:tcPr>
                <w:p w14:paraId="50B0D005">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p>
              </w:tc>
              <w:tc>
                <w:tcPr>
                  <w:tcW w:w="930" w:type="dxa"/>
                  <w:shd w:val="clear" w:color="auto" w:fill="auto"/>
                  <w:noWrap w:val="0"/>
                  <w:vAlign w:val="center"/>
                </w:tcPr>
                <w:p w14:paraId="713FD8C0">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能源利用效率要求</w:t>
                  </w:r>
                </w:p>
              </w:tc>
              <w:tc>
                <w:tcPr>
                  <w:tcW w:w="3905" w:type="dxa"/>
                  <w:shd w:val="clear" w:color="auto" w:fill="auto"/>
                  <w:noWrap w:val="0"/>
                  <w:vAlign w:val="center"/>
                </w:tcPr>
                <w:p w14:paraId="57DBDFBB">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能源利用效率持续提高，完成省级下达的能源利用效率目标。</w:t>
                  </w:r>
                </w:p>
              </w:tc>
              <w:tc>
                <w:tcPr>
                  <w:tcW w:w="1775" w:type="dxa"/>
                  <w:shd w:val="clear" w:color="auto" w:fill="auto"/>
                  <w:noWrap w:val="0"/>
                  <w:vAlign w:val="center"/>
                </w:tcPr>
                <w:p w14:paraId="4D33F4DD">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lang w:val="zh-CN"/>
                    </w:rPr>
                  </w:pPr>
                  <w:r>
                    <w:rPr>
                      <w:rStyle w:val="300"/>
                      <w:rFonts w:hint="default" w:ascii="Times New Roman" w:hAnsi="Times New Roman" w:eastAsia="宋体" w:cs="Times New Roman"/>
                      <w:color w:val="auto"/>
                      <w:kern w:val="0"/>
                      <w:sz w:val="21"/>
                      <w:szCs w:val="21"/>
                      <w:highlight w:val="none"/>
                      <w:lang w:val="zh-CN"/>
                    </w:rPr>
                    <w:t>本工程运营期不</w:t>
                  </w:r>
                  <w:r>
                    <w:rPr>
                      <w:rStyle w:val="300"/>
                      <w:rFonts w:hint="default" w:ascii="Times New Roman" w:hAnsi="Times New Roman" w:eastAsia="宋体" w:cs="Times New Roman"/>
                      <w:color w:val="auto"/>
                      <w:kern w:val="0"/>
                      <w:sz w:val="21"/>
                      <w:szCs w:val="21"/>
                      <w:highlight w:val="none"/>
                      <w:lang w:val="en-US" w:eastAsia="zh-CN"/>
                    </w:rPr>
                    <w:t>涉及其他</w:t>
                  </w:r>
                  <w:r>
                    <w:rPr>
                      <w:rStyle w:val="300"/>
                      <w:rFonts w:hint="default" w:ascii="Times New Roman" w:hAnsi="Times New Roman" w:eastAsia="宋体" w:cs="Times New Roman"/>
                      <w:color w:val="auto"/>
                      <w:kern w:val="0"/>
                      <w:sz w:val="21"/>
                      <w:szCs w:val="21"/>
                      <w:highlight w:val="none"/>
                      <w:lang w:val="zh-CN"/>
                    </w:rPr>
                    <w:t>能源</w:t>
                  </w:r>
                  <w:r>
                    <w:rPr>
                      <w:rStyle w:val="300"/>
                      <w:rFonts w:hint="default" w:ascii="Times New Roman" w:hAnsi="Times New Roman" w:eastAsia="宋体" w:cs="Times New Roman"/>
                      <w:color w:val="auto"/>
                      <w:kern w:val="0"/>
                      <w:sz w:val="21"/>
                      <w:szCs w:val="21"/>
                      <w:highlight w:val="none"/>
                      <w:lang w:val="en-US" w:eastAsia="zh-CN"/>
                    </w:rPr>
                    <w:t>消耗</w:t>
                  </w:r>
                  <w:r>
                    <w:rPr>
                      <w:rStyle w:val="300"/>
                      <w:rFonts w:hint="default" w:ascii="Times New Roman" w:hAnsi="Times New Roman" w:eastAsia="宋体" w:cs="Times New Roman"/>
                      <w:color w:val="auto"/>
                      <w:kern w:val="0"/>
                      <w:sz w:val="21"/>
                      <w:szCs w:val="21"/>
                      <w:highlight w:val="none"/>
                      <w:lang w:val="zh-CN"/>
                    </w:rPr>
                    <w:t>。</w:t>
                  </w:r>
                </w:p>
              </w:tc>
              <w:tc>
                <w:tcPr>
                  <w:tcW w:w="507" w:type="dxa"/>
                  <w:shd w:val="clear" w:color="auto" w:fill="auto"/>
                  <w:noWrap w:val="0"/>
                  <w:vAlign w:val="center"/>
                </w:tcPr>
                <w:p w14:paraId="0CB2490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r w14:paraId="7E44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dxa"/>
                  <w:vMerge w:val="continue"/>
                  <w:shd w:val="clear" w:color="auto" w:fill="auto"/>
                  <w:noWrap w:val="0"/>
                  <w:vAlign w:val="center"/>
                </w:tcPr>
                <w:p w14:paraId="7DEADBDF">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p>
              </w:tc>
              <w:tc>
                <w:tcPr>
                  <w:tcW w:w="930" w:type="dxa"/>
                  <w:shd w:val="clear" w:color="auto" w:fill="auto"/>
                  <w:noWrap w:val="0"/>
                  <w:vAlign w:val="center"/>
                </w:tcPr>
                <w:p w14:paraId="4E938B36">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Style w:val="300"/>
                      <w:rFonts w:hint="default" w:ascii="Times New Roman" w:hAnsi="Times New Roman" w:eastAsia="宋体" w:cs="Times New Roman"/>
                      <w:color w:val="auto"/>
                      <w:kern w:val="0"/>
                      <w:sz w:val="21"/>
                      <w:szCs w:val="21"/>
                      <w:highlight w:val="none"/>
                    </w:rPr>
                  </w:pPr>
                  <w:r>
                    <w:rPr>
                      <w:rStyle w:val="300"/>
                      <w:rFonts w:hint="default" w:ascii="Times New Roman" w:hAnsi="Times New Roman" w:eastAsia="宋体" w:cs="Times New Roman"/>
                      <w:color w:val="auto"/>
                      <w:kern w:val="0"/>
                      <w:sz w:val="21"/>
                      <w:szCs w:val="21"/>
                      <w:highlight w:val="none"/>
                    </w:rPr>
                    <w:t>碳排放</w:t>
                  </w:r>
                </w:p>
                <w:p w14:paraId="7A6319FF">
                  <w:pPr>
                    <w:keepNext w:val="0"/>
                    <w:keepLines w:val="0"/>
                    <w:pageBreakBefore w:val="0"/>
                    <w:widowControl w:val="0"/>
                    <w:kinsoku/>
                    <w:wordWrap/>
                    <w:overflowPunct/>
                    <w:topLinePunct w:val="0"/>
                    <w:autoSpaceDE/>
                    <w:autoSpaceDN/>
                    <w:bidi w:val="0"/>
                    <w:adjustRightInd/>
                    <w:snapToGrid/>
                    <w:spacing w:line="276" w:lineRule="auto"/>
                    <w:ind w:left="-84" w:leftChars="-40" w:right="-84" w:rightChars="-40"/>
                    <w:jc w:val="center"/>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强度控制要求</w:t>
                  </w:r>
                </w:p>
              </w:tc>
              <w:tc>
                <w:tcPr>
                  <w:tcW w:w="3905" w:type="dxa"/>
                  <w:shd w:val="clear" w:color="auto" w:fill="auto"/>
                  <w:noWrap w:val="0"/>
                  <w:vAlign w:val="center"/>
                </w:tcPr>
                <w:p w14:paraId="36240222">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lang w:eastAsia="zh-CN"/>
                    </w:rPr>
                  </w:pPr>
                  <w:r>
                    <w:rPr>
                      <w:rStyle w:val="300"/>
                      <w:rFonts w:hint="default" w:ascii="Times New Roman" w:hAnsi="Times New Roman" w:eastAsia="宋体" w:cs="Times New Roman"/>
                      <w:color w:val="auto"/>
                      <w:kern w:val="0"/>
                      <w:sz w:val="21"/>
                      <w:szCs w:val="21"/>
                      <w:highlight w:val="none"/>
                    </w:rPr>
                    <w:t>（1）全市绿色低碳产业结构基本形成，能源生产和消费结构进一步优化，实现单位地区生产总值二氧化碳排放量完成省下达任务</w:t>
                  </w:r>
                  <w:r>
                    <w:rPr>
                      <w:rStyle w:val="300"/>
                      <w:rFonts w:hint="default" w:ascii="Times New Roman" w:hAnsi="Times New Roman" w:eastAsia="宋体" w:cs="Times New Roman"/>
                      <w:color w:val="auto"/>
                      <w:kern w:val="0"/>
                      <w:sz w:val="21"/>
                      <w:szCs w:val="21"/>
                      <w:highlight w:val="none"/>
                      <w:lang w:eastAsia="zh-CN"/>
                    </w:rPr>
                    <w:t>。</w:t>
                  </w:r>
                </w:p>
                <w:p w14:paraId="79FC3829">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kern w:val="0"/>
                      <w:sz w:val="21"/>
                      <w:szCs w:val="21"/>
                      <w:highlight w:val="none"/>
                    </w:rPr>
                    <w:t>（2）非化石能源消费占能源消费总量比重达到20%。</w:t>
                  </w:r>
                </w:p>
              </w:tc>
              <w:tc>
                <w:tcPr>
                  <w:tcW w:w="1775" w:type="dxa"/>
                  <w:shd w:val="clear" w:color="auto" w:fill="auto"/>
                  <w:noWrap w:val="0"/>
                  <w:vAlign w:val="center"/>
                </w:tcPr>
                <w:p w14:paraId="669F5985">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lang w:val="zh-CN"/>
                    </w:rPr>
                  </w:pPr>
                  <w:r>
                    <w:rPr>
                      <w:rStyle w:val="300"/>
                      <w:rFonts w:hint="default" w:ascii="Times New Roman" w:hAnsi="Times New Roman" w:eastAsia="宋体" w:cs="Times New Roman"/>
                      <w:color w:val="auto"/>
                      <w:kern w:val="0"/>
                      <w:sz w:val="21"/>
                      <w:szCs w:val="21"/>
                      <w:highlight w:val="none"/>
                      <w:lang w:val="zh-CN"/>
                    </w:rPr>
                    <w:t>（</w:t>
                  </w:r>
                  <w:r>
                    <w:rPr>
                      <w:rStyle w:val="300"/>
                      <w:rFonts w:hint="default" w:ascii="Times New Roman" w:hAnsi="Times New Roman" w:eastAsia="宋体" w:cs="Times New Roman"/>
                      <w:color w:val="auto"/>
                      <w:kern w:val="0"/>
                      <w:sz w:val="21"/>
                      <w:szCs w:val="21"/>
                      <w:highlight w:val="none"/>
                    </w:rPr>
                    <w:t>1</w:t>
                  </w:r>
                  <w:r>
                    <w:rPr>
                      <w:rStyle w:val="300"/>
                      <w:rFonts w:hint="default" w:ascii="Times New Roman" w:hAnsi="Times New Roman" w:eastAsia="宋体" w:cs="Times New Roman"/>
                      <w:color w:val="auto"/>
                      <w:kern w:val="0"/>
                      <w:sz w:val="21"/>
                      <w:szCs w:val="21"/>
                      <w:highlight w:val="none"/>
                      <w:lang w:val="zh-CN"/>
                    </w:rPr>
                    <w:t>）工程运营期不排放二氧化碳等大气污染物。</w:t>
                  </w:r>
                </w:p>
                <w:p w14:paraId="280354EB">
                  <w:pPr>
                    <w:keepNext w:val="0"/>
                    <w:keepLines w:val="0"/>
                    <w:pageBreakBefore w:val="0"/>
                    <w:widowControl w:val="0"/>
                    <w:tabs>
                      <w:tab w:val="left" w:pos="252"/>
                    </w:tabs>
                    <w:kinsoku/>
                    <w:wordWrap/>
                    <w:overflowPunct/>
                    <w:topLinePunct w:val="0"/>
                    <w:autoSpaceDE/>
                    <w:autoSpaceDN/>
                    <w:bidi w:val="0"/>
                    <w:adjustRightInd/>
                    <w:snapToGrid/>
                    <w:spacing w:line="276" w:lineRule="auto"/>
                    <w:textAlignment w:val="auto"/>
                    <w:rPr>
                      <w:rStyle w:val="300"/>
                      <w:rFonts w:hint="default" w:ascii="Times New Roman" w:hAnsi="Times New Roman" w:eastAsia="宋体" w:cs="Times New Roman"/>
                      <w:color w:val="auto"/>
                      <w:kern w:val="0"/>
                      <w:sz w:val="21"/>
                      <w:szCs w:val="21"/>
                      <w:highlight w:val="none"/>
                      <w:lang w:val="zh-CN"/>
                    </w:rPr>
                  </w:pPr>
                  <w:r>
                    <w:rPr>
                      <w:rStyle w:val="300"/>
                      <w:rFonts w:hint="default" w:ascii="Times New Roman" w:hAnsi="Times New Roman" w:eastAsia="宋体" w:cs="Times New Roman"/>
                      <w:color w:val="auto"/>
                      <w:kern w:val="0"/>
                      <w:sz w:val="21"/>
                      <w:szCs w:val="21"/>
                      <w:highlight w:val="none"/>
                      <w:lang w:val="zh-CN"/>
                    </w:rPr>
                    <w:t>（</w:t>
                  </w:r>
                  <w:r>
                    <w:rPr>
                      <w:rStyle w:val="300"/>
                      <w:rFonts w:hint="default" w:ascii="Times New Roman" w:hAnsi="Times New Roman" w:eastAsia="宋体" w:cs="Times New Roman"/>
                      <w:color w:val="auto"/>
                      <w:kern w:val="0"/>
                      <w:sz w:val="21"/>
                      <w:szCs w:val="21"/>
                      <w:highlight w:val="none"/>
                    </w:rPr>
                    <w:t>2</w:t>
                  </w:r>
                  <w:r>
                    <w:rPr>
                      <w:rStyle w:val="300"/>
                      <w:rFonts w:hint="default" w:ascii="Times New Roman" w:hAnsi="Times New Roman" w:eastAsia="宋体" w:cs="Times New Roman"/>
                      <w:color w:val="auto"/>
                      <w:kern w:val="0"/>
                      <w:sz w:val="21"/>
                      <w:szCs w:val="21"/>
                      <w:highlight w:val="none"/>
                      <w:lang w:val="zh-CN"/>
                    </w:rPr>
                    <w:t>）本工程运营期不消耗</w:t>
                  </w:r>
                  <w:r>
                    <w:rPr>
                      <w:rStyle w:val="300"/>
                      <w:rFonts w:hint="default" w:ascii="Times New Roman" w:hAnsi="Times New Roman" w:eastAsia="宋体" w:cs="Times New Roman"/>
                      <w:color w:val="auto"/>
                      <w:kern w:val="0"/>
                      <w:sz w:val="21"/>
                      <w:szCs w:val="21"/>
                      <w:highlight w:val="none"/>
                    </w:rPr>
                    <w:t>石化</w:t>
                  </w:r>
                  <w:r>
                    <w:rPr>
                      <w:rStyle w:val="300"/>
                      <w:rFonts w:hint="default" w:ascii="Times New Roman" w:hAnsi="Times New Roman" w:eastAsia="宋体" w:cs="Times New Roman"/>
                      <w:color w:val="auto"/>
                      <w:kern w:val="0"/>
                      <w:sz w:val="21"/>
                      <w:szCs w:val="21"/>
                      <w:highlight w:val="none"/>
                      <w:lang w:val="zh-CN"/>
                    </w:rPr>
                    <w:t>能源。</w:t>
                  </w:r>
                </w:p>
              </w:tc>
              <w:tc>
                <w:tcPr>
                  <w:tcW w:w="507" w:type="dxa"/>
                  <w:shd w:val="clear" w:color="auto" w:fill="auto"/>
                  <w:noWrap w:val="0"/>
                  <w:vAlign w:val="center"/>
                </w:tcPr>
                <w:p w14:paraId="7CFAD3E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Style w:val="300"/>
                      <w:rFonts w:hint="default" w:ascii="Times New Roman" w:hAnsi="Times New Roman" w:eastAsia="宋体" w:cs="Times New Roman"/>
                      <w:color w:val="auto"/>
                      <w:sz w:val="21"/>
                      <w:szCs w:val="21"/>
                      <w:highlight w:val="none"/>
                      <w:lang w:val="zh-CN"/>
                    </w:rPr>
                  </w:pPr>
                  <w:r>
                    <w:rPr>
                      <w:rStyle w:val="300"/>
                      <w:rFonts w:hint="default" w:ascii="Times New Roman" w:hAnsi="Times New Roman" w:eastAsia="宋体" w:cs="Times New Roman"/>
                      <w:color w:val="auto"/>
                      <w:sz w:val="21"/>
                      <w:szCs w:val="21"/>
                      <w:highlight w:val="none"/>
                      <w:lang w:val="zh-CN"/>
                    </w:rPr>
                    <w:t>符合</w:t>
                  </w:r>
                </w:p>
              </w:tc>
            </w:tr>
          </w:tbl>
          <w:p w14:paraId="7FCDF42C">
            <w:pPr>
              <w:spacing w:line="360" w:lineRule="auto"/>
              <w:jc w:val="center"/>
              <w:rPr>
                <w:rFonts w:hint="default" w:ascii="Times New Roman" w:hAnsi="Times New Roman" w:eastAsia="宋体" w:cs="Times New Roman"/>
                <w:b/>
                <w:bCs/>
                <w:color w:val="auto"/>
                <w:sz w:val="24"/>
                <w:szCs w:val="24"/>
                <w:highlight w:val="none"/>
              </w:rPr>
            </w:pPr>
          </w:p>
          <w:p w14:paraId="36155D92">
            <w:pPr>
              <w:spacing w:line="360" w:lineRule="auto"/>
              <w:jc w:val="center"/>
              <w:rPr>
                <w:rFonts w:hint="default" w:ascii="Times New Roman" w:hAnsi="Times New Roman" w:eastAsia="宋体" w:cs="Times New Roman"/>
                <w:b/>
                <w:bCs/>
                <w:color w:val="auto"/>
                <w:sz w:val="24"/>
                <w:szCs w:val="24"/>
                <w:highlight w:val="none"/>
              </w:rPr>
            </w:pPr>
          </w:p>
          <w:p w14:paraId="06989976">
            <w:pPr>
              <w:spacing w:line="360" w:lineRule="auto"/>
              <w:jc w:val="center"/>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bCs/>
                <w:color w:val="auto"/>
                <w:sz w:val="24"/>
                <w:szCs w:val="24"/>
                <w:highlight w:val="none"/>
              </w:rPr>
              <w:t xml:space="preserve">表1-4 </w:t>
            </w:r>
            <w:r>
              <w:rPr>
                <w:rFonts w:hint="default" w:ascii="Times New Roman" w:hAnsi="Times New Roman" w:eastAsia="宋体" w:cs="Times New Roman"/>
                <w:b/>
                <w:bCs/>
                <w:color w:val="auto"/>
                <w:sz w:val="24"/>
                <w:szCs w:val="24"/>
                <w:highlight w:val="none"/>
                <w:lang w:val="en-US" w:eastAsia="zh-CN"/>
              </w:rPr>
              <w:t xml:space="preserve"> 项目与</w:t>
            </w:r>
            <w:r>
              <w:rPr>
                <w:rFonts w:hint="default" w:ascii="Times New Roman" w:hAnsi="Times New Roman" w:eastAsia="宋体" w:cs="Times New Roman"/>
                <w:b/>
                <w:bCs/>
                <w:color w:val="auto"/>
                <w:sz w:val="24"/>
                <w:szCs w:val="24"/>
                <w:highlight w:val="none"/>
              </w:rPr>
              <w:t>禄劝县</w:t>
            </w:r>
            <w:r>
              <w:rPr>
                <w:rFonts w:hint="default" w:ascii="Times New Roman" w:hAnsi="Times New Roman" w:eastAsia="宋体" w:cs="Times New Roman"/>
                <w:b/>
                <w:bCs/>
                <w:color w:val="auto"/>
                <w:sz w:val="24"/>
                <w:szCs w:val="24"/>
                <w:highlight w:val="none"/>
                <w:lang w:val="en-US" w:eastAsia="zh-CN"/>
              </w:rPr>
              <w:t>一般</w:t>
            </w:r>
            <w:r>
              <w:rPr>
                <w:rFonts w:hint="default" w:ascii="Times New Roman" w:hAnsi="Times New Roman" w:eastAsia="宋体" w:cs="Times New Roman"/>
                <w:b/>
                <w:bCs/>
                <w:color w:val="auto"/>
                <w:sz w:val="24"/>
                <w:szCs w:val="24"/>
                <w:highlight w:val="none"/>
              </w:rPr>
              <w:t>管控单元准入要求</w:t>
            </w:r>
            <w:r>
              <w:rPr>
                <w:rFonts w:hint="default" w:ascii="Times New Roman" w:hAnsi="Times New Roman" w:eastAsia="宋体" w:cs="Times New Roman"/>
                <w:b/>
                <w:bCs/>
                <w:color w:val="auto"/>
                <w:sz w:val="24"/>
                <w:szCs w:val="24"/>
                <w:highlight w:val="none"/>
                <w:lang w:val="en-US" w:eastAsia="zh-CN"/>
              </w:rPr>
              <w:t>分析</w:t>
            </w:r>
            <w:r>
              <w:rPr>
                <w:rFonts w:hint="default" w:ascii="Times New Roman" w:hAnsi="Times New Roman" w:eastAsia="宋体" w:cs="Times New Roman"/>
                <w:b/>
                <w:bCs/>
                <w:color w:val="auto"/>
                <w:sz w:val="24"/>
                <w:szCs w:val="24"/>
                <w:highlight w:val="none"/>
              </w:rPr>
              <w:t>表</w:t>
            </w:r>
          </w:p>
          <w:tbl>
            <w:tblPr>
              <w:tblStyle w:val="49"/>
              <w:tblW w:w="7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592"/>
              <w:gridCol w:w="2872"/>
              <w:gridCol w:w="3121"/>
              <w:gridCol w:w="526"/>
            </w:tblGrid>
            <w:tr w14:paraId="5B18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546" w:type="dxa"/>
                  <w:shd w:val="clear" w:color="auto" w:fill="auto"/>
                  <w:noWrap w:val="0"/>
                  <w:vAlign w:val="center"/>
                </w:tcPr>
                <w:p w14:paraId="6EB01D52">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单元名称</w:t>
                  </w:r>
                </w:p>
              </w:tc>
              <w:tc>
                <w:tcPr>
                  <w:tcW w:w="592" w:type="dxa"/>
                  <w:shd w:val="clear" w:color="auto" w:fill="auto"/>
                  <w:noWrap w:val="0"/>
                  <w:vAlign w:val="center"/>
                </w:tcPr>
                <w:p w14:paraId="477E1C39">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管控</w:t>
                  </w:r>
                </w:p>
                <w:p w14:paraId="46736581">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要求</w:t>
                  </w:r>
                </w:p>
              </w:tc>
              <w:tc>
                <w:tcPr>
                  <w:tcW w:w="2872" w:type="dxa"/>
                  <w:shd w:val="clear" w:color="auto" w:fill="auto"/>
                  <w:noWrap w:val="0"/>
                  <w:vAlign w:val="center"/>
                </w:tcPr>
                <w:p w14:paraId="6C948B64">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 w:val="0"/>
                      <w:bCs/>
                      <w:color w:val="auto"/>
                      <w:sz w:val="21"/>
                      <w:szCs w:val="21"/>
                      <w:highlight w:val="none"/>
                    </w:rPr>
                    <w:t>项目情况</w:t>
                  </w:r>
                </w:p>
              </w:tc>
              <w:tc>
                <w:tcPr>
                  <w:tcW w:w="3121" w:type="dxa"/>
                  <w:shd w:val="clear" w:color="auto" w:fill="auto"/>
                  <w:noWrap w:val="0"/>
                  <w:vAlign w:val="center"/>
                </w:tcPr>
                <w:p w14:paraId="034A75F6">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本项目情况</w:t>
                  </w:r>
                </w:p>
              </w:tc>
              <w:tc>
                <w:tcPr>
                  <w:tcW w:w="526" w:type="dxa"/>
                  <w:shd w:val="clear" w:color="auto" w:fill="auto"/>
                  <w:noWrap w:val="0"/>
                  <w:vAlign w:val="center"/>
                </w:tcPr>
                <w:p w14:paraId="0F595E95">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符合性</w:t>
                  </w:r>
                </w:p>
              </w:tc>
            </w:tr>
            <w:tr w14:paraId="1ADD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46" w:type="dxa"/>
                  <w:vMerge w:val="restart"/>
                  <w:shd w:val="clear" w:color="auto" w:fill="auto"/>
                  <w:noWrap w:val="0"/>
                  <w:vAlign w:val="center"/>
                </w:tcPr>
                <w:p w14:paraId="1C2A6B73">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p w14:paraId="3E189D3F">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一般管控单元</w:t>
                  </w:r>
                </w:p>
              </w:tc>
              <w:tc>
                <w:tcPr>
                  <w:tcW w:w="592" w:type="dxa"/>
                  <w:vMerge w:val="restart"/>
                  <w:shd w:val="clear" w:color="auto" w:fill="auto"/>
                  <w:noWrap w:val="0"/>
                  <w:vAlign w:val="center"/>
                </w:tcPr>
                <w:p w14:paraId="1A42F43D">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p w14:paraId="593BF455">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空间布局约束</w:t>
                  </w:r>
                </w:p>
              </w:tc>
              <w:tc>
                <w:tcPr>
                  <w:tcW w:w="2872" w:type="dxa"/>
                  <w:shd w:val="clear" w:color="auto" w:fill="auto"/>
                  <w:noWrap w:val="0"/>
                  <w:vAlign w:val="center"/>
                </w:tcPr>
                <w:p w14:paraId="57D42994">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Cs/>
                      <w:color w:val="auto"/>
                      <w:kern w:val="0"/>
                      <w:sz w:val="21"/>
                      <w:szCs w:val="21"/>
                      <w:highlight w:val="none"/>
                    </w:rPr>
                    <w:t>禁止一切破坏水环境生态平衡的活动及破坏水源林、护岸林、与水源保护相关植被的活动。</w:t>
                  </w:r>
                </w:p>
              </w:tc>
              <w:tc>
                <w:tcPr>
                  <w:tcW w:w="3121" w:type="dxa"/>
                  <w:shd w:val="clear" w:color="auto" w:fill="auto"/>
                  <w:noWrap w:val="0"/>
                  <w:vAlign w:val="center"/>
                </w:tcPr>
                <w:p w14:paraId="621CB6DD">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项目施工</w:t>
                  </w:r>
                  <w:r>
                    <w:rPr>
                      <w:rFonts w:hint="default" w:ascii="Times New Roman" w:hAnsi="Times New Roman" w:eastAsia="宋体" w:cs="Times New Roman"/>
                      <w:b w:val="0"/>
                      <w:bCs/>
                      <w:color w:val="auto"/>
                      <w:sz w:val="21"/>
                      <w:szCs w:val="21"/>
                      <w:highlight w:val="none"/>
                      <w:lang w:val="en-US" w:eastAsia="zh-CN"/>
                    </w:rPr>
                    <w:t>期已结束，</w:t>
                  </w:r>
                  <w:r>
                    <w:rPr>
                      <w:rFonts w:hint="default" w:ascii="Times New Roman" w:hAnsi="Times New Roman" w:eastAsia="宋体" w:cs="Times New Roman"/>
                      <w:b w:val="0"/>
                      <w:bCs/>
                      <w:color w:val="auto"/>
                      <w:sz w:val="21"/>
                      <w:szCs w:val="21"/>
                      <w:highlight w:val="none"/>
                    </w:rPr>
                    <w:t>运营过程中</w:t>
                  </w:r>
                  <w:r>
                    <w:rPr>
                      <w:rFonts w:hint="default" w:ascii="Times New Roman" w:hAnsi="Times New Roman" w:eastAsia="宋体" w:cs="Times New Roman"/>
                      <w:b w:val="0"/>
                      <w:bCs/>
                      <w:color w:val="auto"/>
                      <w:sz w:val="21"/>
                      <w:szCs w:val="21"/>
                      <w:highlight w:val="none"/>
                      <w:lang w:val="en-US" w:eastAsia="zh-CN"/>
                    </w:rPr>
                    <w:t>不涉及</w:t>
                  </w:r>
                  <w:r>
                    <w:rPr>
                      <w:rFonts w:hint="default" w:ascii="Times New Roman" w:hAnsi="Times New Roman" w:eastAsia="宋体" w:cs="Times New Roman"/>
                      <w:b w:val="0"/>
                      <w:bCs/>
                      <w:color w:val="auto"/>
                      <w:sz w:val="21"/>
                      <w:szCs w:val="21"/>
                      <w:highlight w:val="none"/>
                    </w:rPr>
                    <w:t>破坏水环境、水源林、护岸林和与水源保护有关植被</w:t>
                  </w:r>
                  <w:r>
                    <w:rPr>
                      <w:rFonts w:hint="default" w:ascii="Times New Roman" w:hAnsi="Times New Roman" w:eastAsia="宋体" w:cs="Times New Roman"/>
                      <w:b w:val="0"/>
                      <w:bCs/>
                      <w:color w:val="auto"/>
                      <w:sz w:val="21"/>
                      <w:szCs w:val="21"/>
                      <w:highlight w:val="none"/>
                      <w:lang w:eastAsia="zh-CN"/>
                    </w:rPr>
                    <w:t>。</w:t>
                  </w:r>
                </w:p>
              </w:tc>
              <w:tc>
                <w:tcPr>
                  <w:tcW w:w="526" w:type="dxa"/>
                  <w:shd w:val="clear" w:color="auto" w:fill="auto"/>
                  <w:noWrap w:val="0"/>
                  <w:vAlign w:val="center"/>
                </w:tcPr>
                <w:p w14:paraId="21EB66AC">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符合</w:t>
                  </w:r>
                </w:p>
              </w:tc>
            </w:tr>
            <w:tr w14:paraId="1B5E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546" w:type="dxa"/>
                  <w:vMerge w:val="continue"/>
                  <w:shd w:val="clear" w:color="auto" w:fill="auto"/>
                  <w:noWrap w:val="0"/>
                  <w:vAlign w:val="center"/>
                </w:tcPr>
                <w:p w14:paraId="28DC2424">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continue"/>
                  <w:shd w:val="clear" w:color="auto" w:fill="auto"/>
                  <w:noWrap w:val="0"/>
                  <w:vAlign w:val="center"/>
                </w:tcPr>
                <w:p w14:paraId="5CDF47C6">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2872" w:type="dxa"/>
                  <w:shd w:val="clear" w:color="auto" w:fill="auto"/>
                  <w:noWrap w:val="0"/>
                  <w:vAlign w:val="center"/>
                </w:tcPr>
                <w:p w14:paraId="34F73D7A">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禁止向水域倾倒工业废渣、城市垃圾、粪便及其他废弃物。</w:t>
                  </w:r>
                </w:p>
              </w:tc>
              <w:tc>
                <w:tcPr>
                  <w:tcW w:w="3121" w:type="dxa"/>
                  <w:shd w:val="clear" w:color="auto" w:fill="auto"/>
                  <w:noWrap w:val="0"/>
                  <w:vAlign w:val="center"/>
                </w:tcPr>
                <w:p w14:paraId="07D00FC7">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项目不存在工业废渣，各类固废按照要求进行收集、处置，禁止向水域倾倒</w:t>
                  </w:r>
                  <w:r>
                    <w:rPr>
                      <w:rFonts w:hint="default" w:ascii="Times New Roman" w:hAnsi="Times New Roman" w:eastAsia="宋体" w:cs="Times New Roman"/>
                      <w:b w:val="0"/>
                      <w:bCs/>
                      <w:color w:val="auto"/>
                      <w:sz w:val="21"/>
                      <w:szCs w:val="21"/>
                      <w:highlight w:val="none"/>
                      <w:lang w:eastAsia="zh-CN"/>
                    </w:rPr>
                    <w:t>。</w:t>
                  </w:r>
                </w:p>
              </w:tc>
              <w:tc>
                <w:tcPr>
                  <w:tcW w:w="526" w:type="dxa"/>
                  <w:shd w:val="clear" w:color="auto" w:fill="auto"/>
                  <w:noWrap w:val="0"/>
                  <w:vAlign w:val="center"/>
                </w:tcPr>
                <w:p w14:paraId="419316C2">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42CC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9" w:hRule="atLeast"/>
                <w:jc w:val="center"/>
              </w:trPr>
              <w:tc>
                <w:tcPr>
                  <w:tcW w:w="546" w:type="dxa"/>
                  <w:vMerge w:val="continue"/>
                  <w:shd w:val="clear" w:color="auto" w:fill="auto"/>
                  <w:noWrap w:val="0"/>
                  <w:vAlign w:val="center"/>
                </w:tcPr>
                <w:p w14:paraId="625E9596">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continue"/>
                  <w:shd w:val="clear" w:color="auto" w:fill="auto"/>
                  <w:noWrap w:val="0"/>
                  <w:vAlign w:val="center"/>
                </w:tcPr>
                <w:p w14:paraId="4E247645">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2872" w:type="dxa"/>
                  <w:shd w:val="clear" w:color="auto" w:fill="auto"/>
                  <w:noWrap w:val="0"/>
                  <w:vAlign w:val="center"/>
                </w:tcPr>
                <w:p w14:paraId="73F7F42D">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禁止使用剧毒和高残留农药，不得滥用化肥，不得使用炸药、毒品捕杀鱼类。</w:t>
                  </w:r>
                </w:p>
              </w:tc>
              <w:tc>
                <w:tcPr>
                  <w:tcW w:w="3121" w:type="dxa"/>
                  <w:shd w:val="clear" w:color="auto" w:fill="auto"/>
                  <w:noWrap w:val="0"/>
                  <w:vAlign w:val="center"/>
                </w:tcPr>
                <w:p w14:paraId="5038391C">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本项目不涉及</w:t>
                  </w:r>
                  <w:r>
                    <w:rPr>
                      <w:rFonts w:hint="default" w:ascii="Times New Roman" w:hAnsi="Times New Roman" w:eastAsia="宋体" w:cs="Times New Roman"/>
                      <w:b w:val="0"/>
                      <w:bCs/>
                      <w:color w:val="auto"/>
                      <w:sz w:val="21"/>
                      <w:szCs w:val="21"/>
                      <w:highlight w:val="none"/>
                      <w:lang w:eastAsia="zh-CN"/>
                    </w:rPr>
                    <w:t>。</w:t>
                  </w:r>
                </w:p>
              </w:tc>
              <w:tc>
                <w:tcPr>
                  <w:tcW w:w="526" w:type="dxa"/>
                  <w:shd w:val="clear" w:color="auto" w:fill="auto"/>
                  <w:noWrap w:val="0"/>
                  <w:vAlign w:val="center"/>
                </w:tcPr>
                <w:p w14:paraId="29390D58">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4369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546" w:type="dxa"/>
                  <w:vMerge w:val="continue"/>
                  <w:shd w:val="clear" w:color="auto" w:fill="auto"/>
                  <w:noWrap w:val="0"/>
                  <w:vAlign w:val="center"/>
                </w:tcPr>
                <w:p w14:paraId="5091AD2E">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continue"/>
                  <w:shd w:val="clear" w:color="auto" w:fill="auto"/>
                  <w:noWrap w:val="0"/>
                  <w:vAlign w:val="center"/>
                </w:tcPr>
                <w:p w14:paraId="24027051">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2872" w:type="dxa"/>
                  <w:shd w:val="clear" w:color="auto" w:fill="auto"/>
                  <w:noWrap w:val="0"/>
                  <w:vAlign w:val="center"/>
                </w:tcPr>
                <w:p w14:paraId="77C90FE5">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禁止设立装卸垃圾、粪便、油类和有毒物品的码头。</w:t>
                  </w:r>
                </w:p>
              </w:tc>
              <w:tc>
                <w:tcPr>
                  <w:tcW w:w="3121" w:type="dxa"/>
                  <w:shd w:val="clear" w:color="auto" w:fill="auto"/>
                  <w:noWrap w:val="0"/>
                  <w:vAlign w:val="center"/>
                </w:tcPr>
                <w:p w14:paraId="7E5B9682">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本项目不涉及</w:t>
                  </w:r>
                  <w:r>
                    <w:rPr>
                      <w:rFonts w:hint="default" w:ascii="Times New Roman" w:hAnsi="Times New Roman" w:eastAsia="宋体" w:cs="Times New Roman"/>
                      <w:b w:val="0"/>
                      <w:bCs/>
                      <w:color w:val="auto"/>
                      <w:sz w:val="21"/>
                      <w:szCs w:val="21"/>
                      <w:highlight w:val="none"/>
                      <w:lang w:eastAsia="zh-CN"/>
                    </w:rPr>
                    <w:t>。</w:t>
                  </w:r>
                </w:p>
              </w:tc>
              <w:tc>
                <w:tcPr>
                  <w:tcW w:w="526" w:type="dxa"/>
                  <w:shd w:val="clear" w:color="auto" w:fill="auto"/>
                  <w:noWrap w:val="0"/>
                  <w:vAlign w:val="center"/>
                </w:tcPr>
                <w:p w14:paraId="3824D786">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42D9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9" w:hRule="atLeast"/>
                <w:jc w:val="center"/>
              </w:trPr>
              <w:tc>
                <w:tcPr>
                  <w:tcW w:w="546" w:type="dxa"/>
                  <w:vMerge w:val="continue"/>
                  <w:shd w:val="clear" w:color="auto" w:fill="auto"/>
                  <w:noWrap w:val="0"/>
                  <w:vAlign w:val="center"/>
                </w:tcPr>
                <w:p w14:paraId="1C1A60D9">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continue"/>
                  <w:shd w:val="clear" w:color="auto" w:fill="auto"/>
                  <w:noWrap w:val="0"/>
                  <w:vAlign w:val="center"/>
                </w:tcPr>
                <w:p w14:paraId="34D0731B">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2872" w:type="dxa"/>
                  <w:shd w:val="clear" w:color="auto" w:fill="auto"/>
                  <w:noWrap w:val="0"/>
                  <w:vAlign w:val="center"/>
                </w:tcPr>
                <w:p w14:paraId="274B9594">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禁止新建、扩建对水体污染严重的建设项目；改建建设项目，不得增加排污量。</w:t>
                  </w:r>
                </w:p>
              </w:tc>
              <w:tc>
                <w:tcPr>
                  <w:tcW w:w="3121" w:type="dxa"/>
                  <w:shd w:val="clear" w:color="auto" w:fill="auto"/>
                  <w:noWrap w:val="0"/>
                  <w:vAlign w:val="center"/>
                </w:tcPr>
                <w:p w14:paraId="5A879CA2">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r>
                    <w:rPr>
                      <w:rFonts w:hint="default" w:ascii="Times New Roman" w:hAnsi="Times New Roman" w:eastAsia="宋体" w:cs="Times New Roman"/>
                      <w:b w:val="0"/>
                      <w:bCs/>
                      <w:color w:val="auto"/>
                      <w:sz w:val="21"/>
                      <w:szCs w:val="21"/>
                      <w:highlight w:val="none"/>
                      <w:lang w:val="en-US" w:eastAsia="zh-CN"/>
                    </w:rPr>
                    <w:t>不属于工业生产型高污染企业，且项目施工期已结束</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运营期生活污水经处理后回用</w:t>
                  </w:r>
                  <w:r>
                    <w:rPr>
                      <w:rFonts w:hint="default" w:ascii="Times New Roman" w:hAnsi="Times New Roman" w:eastAsia="宋体" w:cs="Times New Roman"/>
                      <w:b w:val="0"/>
                      <w:bCs/>
                      <w:color w:val="auto"/>
                      <w:sz w:val="21"/>
                      <w:szCs w:val="21"/>
                      <w:highlight w:val="none"/>
                    </w:rPr>
                    <w:t>。</w:t>
                  </w:r>
                </w:p>
              </w:tc>
              <w:tc>
                <w:tcPr>
                  <w:tcW w:w="526" w:type="dxa"/>
                  <w:shd w:val="clear" w:color="auto" w:fill="auto"/>
                  <w:noWrap w:val="0"/>
                  <w:vAlign w:val="center"/>
                </w:tcPr>
                <w:p w14:paraId="0A3D037B">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51CC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546" w:type="dxa"/>
                  <w:vMerge w:val="continue"/>
                  <w:shd w:val="clear" w:color="auto" w:fill="auto"/>
                  <w:noWrap w:val="0"/>
                  <w:vAlign w:val="center"/>
                </w:tcPr>
                <w:p w14:paraId="5989E065">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restart"/>
                  <w:shd w:val="clear" w:color="auto" w:fill="auto"/>
                  <w:noWrap w:val="0"/>
                  <w:vAlign w:val="center"/>
                </w:tcPr>
                <w:p w14:paraId="10223B23">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环境风险防控</w:t>
                  </w:r>
                </w:p>
              </w:tc>
              <w:tc>
                <w:tcPr>
                  <w:tcW w:w="2872" w:type="dxa"/>
                  <w:shd w:val="clear" w:color="auto" w:fill="auto"/>
                  <w:noWrap w:val="0"/>
                  <w:vAlign w:val="center"/>
                </w:tcPr>
                <w:p w14:paraId="60707565">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防范农业面源污染，实现畜禽粪污资源化利用。</w:t>
                  </w:r>
                </w:p>
              </w:tc>
              <w:tc>
                <w:tcPr>
                  <w:tcW w:w="3121" w:type="dxa"/>
                  <w:shd w:val="clear" w:color="auto" w:fill="auto"/>
                  <w:noWrap w:val="0"/>
                  <w:vAlign w:val="center"/>
                </w:tcPr>
                <w:p w14:paraId="2557B52E">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本项目不涉及</w:t>
                  </w:r>
                  <w:r>
                    <w:rPr>
                      <w:rFonts w:hint="default" w:ascii="Times New Roman" w:hAnsi="Times New Roman" w:eastAsia="宋体" w:cs="Times New Roman"/>
                      <w:b w:val="0"/>
                      <w:bCs/>
                      <w:color w:val="auto"/>
                      <w:sz w:val="21"/>
                      <w:szCs w:val="21"/>
                      <w:highlight w:val="none"/>
                      <w:lang w:eastAsia="zh-CN"/>
                    </w:rPr>
                    <w:t>。</w:t>
                  </w:r>
                </w:p>
              </w:tc>
              <w:tc>
                <w:tcPr>
                  <w:tcW w:w="526" w:type="dxa"/>
                  <w:shd w:val="clear" w:color="auto" w:fill="auto"/>
                  <w:noWrap w:val="0"/>
                  <w:vAlign w:val="center"/>
                </w:tcPr>
                <w:p w14:paraId="5D9204AD">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62FD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546" w:type="dxa"/>
                  <w:vMerge w:val="continue"/>
                  <w:shd w:val="clear" w:color="auto" w:fill="auto"/>
                  <w:noWrap w:val="0"/>
                  <w:vAlign w:val="center"/>
                </w:tcPr>
                <w:p w14:paraId="2F71A07D">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continue"/>
                  <w:shd w:val="clear" w:color="auto" w:fill="auto"/>
                  <w:noWrap w:val="0"/>
                  <w:vAlign w:val="center"/>
                </w:tcPr>
                <w:p w14:paraId="0A2E9B74">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2872" w:type="dxa"/>
                  <w:shd w:val="clear" w:color="auto" w:fill="auto"/>
                  <w:noWrap w:val="0"/>
                  <w:vAlign w:val="center"/>
                </w:tcPr>
                <w:p w14:paraId="06AC2739">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禁止高毒高风险农药使用。</w:t>
                  </w:r>
                </w:p>
              </w:tc>
              <w:tc>
                <w:tcPr>
                  <w:tcW w:w="3121" w:type="dxa"/>
                  <w:shd w:val="clear" w:color="auto" w:fill="auto"/>
                  <w:noWrap w:val="0"/>
                  <w:vAlign w:val="center"/>
                </w:tcPr>
                <w:p w14:paraId="47817B62">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本项目不涉及</w:t>
                  </w:r>
                  <w:r>
                    <w:rPr>
                      <w:rFonts w:hint="default" w:ascii="Times New Roman" w:hAnsi="Times New Roman" w:eastAsia="宋体" w:cs="Times New Roman"/>
                      <w:b w:val="0"/>
                      <w:bCs/>
                      <w:color w:val="auto"/>
                      <w:sz w:val="21"/>
                      <w:szCs w:val="21"/>
                      <w:highlight w:val="none"/>
                      <w:lang w:eastAsia="zh-CN"/>
                    </w:rPr>
                    <w:t>。</w:t>
                  </w:r>
                </w:p>
              </w:tc>
              <w:tc>
                <w:tcPr>
                  <w:tcW w:w="526" w:type="dxa"/>
                  <w:shd w:val="clear" w:color="auto" w:fill="auto"/>
                  <w:noWrap w:val="0"/>
                  <w:vAlign w:val="center"/>
                </w:tcPr>
                <w:p w14:paraId="74F6F708">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5B8E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9" w:hRule="atLeast"/>
                <w:jc w:val="center"/>
              </w:trPr>
              <w:tc>
                <w:tcPr>
                  <w:tcW w:w="546" w:type="dxa"/>
                  <w:vMerge w:val="continue"/>
                  <w:shd w:val="clear" w:color="auto" w:fill="auto"/>
                  <w:noWrap w:val="0"/>
                  <w:vAlign w:val="center"/>
                </w:tcPr>
                <w:p w14:paraId="40E2869E">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592" w:type="dxa"/>
                  <w:vMerge w:val="continue"/>
                  <w:shd w:val="clear" w:color="auto" w:fill="auto"/>
                  <w:noWrap w:val="0"/>
                  <w:vAlign w:val="center"/>
                </w:tcPr>
                <w:p w14:paraId="485C0BC3">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p>
              </w:tc>
              <w:tc>
                <w:tcPr>
                  <w:tcW w:w="2872" w:type="dxa"/>
                  <w:shd w:val="clear" w:color="auto" w:fill="auto"/>
                  <w:noWrap w:val="0"/>
                  <w:vAlign w:val="center"/>
                </w:tcPr>
                <w:p w14:paraId="2BFBB80B">
                  <w:pPr>
                    <w:keepNext w:val="0"/>
                    <w:keepLines w:val="0"/>
                    <w:pageBreakBefore w:val="0"/>
                    <w:widowControl w:val="0"/>
                    <w:kinsoku/>
                    <w:wordWrap/>
                    <w:overflowPunct/>
                    <w:topLinePunct w:val="0"/>
                    <w:autoSpaceDE w:val="0"/>
                    <w:autoSpaceDN w:val="0"/>
                    <w:bidi w:val="0"/>
                    <w:adjustRightInd w:val="0"/>
                    <w:snapToGrid/>
                    <w:spacing w:line="288" w:lineRule="auto"/>
                    <w:ind w:firstLine="0" w:firstLine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建立环境风险预测预警体系，完善突发环境事件应急预案，提高预警能力。</w:t>
                  </w:r>
                </w:p>
              </w:tc>
              <w:tc>
                <w:tcPr>
                  <w:tcW w:w="3121" w:type="dxa"/>
                  <w:shd w:val="clear" w:color="auto" w:fill="auto"/>
                  <w:noWrap w:val="0"/>
                  <w:vAlign w:val="center"/>
                </w:tcPr>
                <w:p w14:paraId="0DF7D1E5">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根据现场调查，目前升压站</w:t>
                  </w:r>
                  <w:r>
                    <w:rPr>
                      <w:rFonts w:hint="default" w:ascii="Times New Roman" w:hAnsi="Times New Roman" w:eastAsia="宋体" w:cs="Times New Roman"/>
                      <w:b w:val="0"/>
                      <w:bCs/>
                      <w:color w:val="auto"/>
                      <w:sz w:val="21"/>
                      <w:szCs w:val="21"/>
                      <w:highlight w:val="none"/>
                    </w:rPr>
                    <w:t>突发环境事件应急预案</w:t>
                  </w:r>
                  <w:r>
                    <w:rPr>
                      <w:rFonts w:hint="default" w:ascii="Times New Roman" w:hAnsi="Times New Roman" w:eastAsia="宋体" w:cs="Times New Roman"/>
                      <w:b w:val="0"/>
                      <w:bCs/>
                      <w:color w:val="auto"/>
                      <w:sz w:val="21"/>
                      <w:szCs w:val="21"/>
                      <w:highlight w:val="none"/>
                      <w:lang w:val="en-US" w:eastAsia="zh-CN"/>
                    </w:rPr>
                    <w:t>正在编制中，编制完成后按要求均进行备案。</w:t>
                  </w:r>
                </w:p>
              </w:tc>
              <w:tc>
                <w:tcPr>
                  <w:tcW w:w="526" w:type="dxa"/>
                  <w:shd w:val="clear" w:color="auto" w:fill="auto"/>
                  <w:noWrap w:val="0"/>
                  <w:vAlign w:val="center"/>
                </w:tcPr>
                <w:p w14:paraId="4812DD6F">
                  <w:pPr>
                    <w:pStyle w:val="339"/>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bl>
          <w:p w14:paraId="4B984C5B">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w:t>
            </w:r>
            <w:r>
              <w:rPr>
                <w:rFonts w:hint="default" w:ascii="Times New Roman" w:hAnsi="Times New Roman" w:eastAsia="宋体" w:cs="Times New Roman"/>
                <w:b w:val="0"/>
                <w:bCs w:val="0"/>
                <w:color w:val="auto"/>
                <w:sz w:val="24"/>
                <w:highlight w:val="none"/>
                <w:lang w:val="en-US" w:eastAsia="zh-CN"/>
              </w:rPr>
              <w:t>分析可知</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本项目的建设</w:t>
            </w:r>
            <w:r>
              <w:rPr>
                <w:rFonts w:hint="default" w:ascii="Times New Roman" w:hAnsi="Times New Roman" w:eastAsia="宋体" w:cs="Times New Roman"/>
                <w:b w:val="0"/>
                <w:bCs w:val="0"/>
                <w:color w:val="auto"/>
                <w:sz w:val="24"/>
                <w:highlight w:val="none"/>
              </w:rPr>
              <w:t>项目</w:t>
            </w:r>
            <w:r>
              <w:rPr>
                <w:rFonts w:hint="default" w:ascii="Times New Roman" w:hAnsi="Times New Roman" w:eastAsia="宋体" w:cs="Times New Roman"/>
                <w:b w:val="0"/>
                <w:bCs w:val="0"/>
                <w:color w:val="auto"/>
                <w:sz w:val="24"/>
                <w:highlight w:val="none"/>
                <w:lang w:val="en-US" w:eastAsia="zh-CN"/>
              </w:rPr>
              <w:t>符合</w:t>
            </w:r>
            <w:r>
              <w:rPr>
                <w:rFonts w:hint="default" w:ascii="Times New Roman" w:hAnsi="Times New Roman" w:eastAsia="宋体" w:cs="Times New Roman"/>
                <w:b w:val="0"/>
                <w:bCs w:val="0"/>
                <w:color w:val="auto"/>
                <w:sz w:val="24"/>
                <w:szCs w:val="24"/>
                <w:highlight w:val="none"/>
              </w:rPr>
              <w:t>昆明市环境管控单元生态环境总体准入要求</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也符合禄劝县一般</w:t>
            </w:r>
            <w:r>
              <w:rPr>
                <w:rFonts w:hint="default" w:ascii="Times New Roman" w:hAnsi="Times New Roman" w:eastAsia="宋体" w:cs="Times New Roman"/>
                <w:b w:val="0"/>
                <w:bCs w:val="0"/>
                <w:color w:val="auto"/>
                <w:sz w:val="24"/>
                <w:szCs w:val="24"/>
                <w:highlight w:val="none"/>
              </w:rPr>
              <w:t>管控单元</w:t>
            </w:r>
            <w:r>
              <w:rPr>
                <w:rFonts w:hint="default" w:ascii="Times New Roman" w:hAnsi="Times New Roman" w:eastAsia="宋体" w:cs="Times New Roman"/>
                <w:b w:val="0"/>
                <w:bCs w:val="0"/>
                <w:color w:val="auto"/>
                <w:sz w:val="24"/>
                <w:highlight w:val="none"/>
                <w:lang w:val="en-US" w:eastAsia="zh-CN"/>
              </w:rPr>
              <w:t>的相关要求</w:t>
            </w:r>
            <w:r>
              <w:rPr>
                <w:rFonts w:hint="default" w:ascii="Times New Roman" w:hAnsi="Times New Roman" w:eastAsia="宋体" w:cs="Times New Roman"/>
                <w:b w:val="0"/>
                <w:bCs w:val="0"/>
                <w:color w:val="auto"/>
                <w:sz w:val="24"/>
                <w:highlight w:val="none"/>
              </w:rPr>
              <w:t>。</w:t>
            </w:r>
          </w:p>
          <w:p w14:paraId="1B430399">
            <w:pPr>
              <w:autoSpaceDE w:val="0"/>
              <w:autoSpaceDN w:val="0"/>
              <w:adjustRightIn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pacing w:val="-6"/>
                <w:sz w:val="24"/>
                <w:highlight w:val="none"/>
              </w:rPr>
              <w:t>与《输变电建设项目环境保护技术要求》（HJ1113-2020）</w:t>
            </w:r>
            <w:r>
              <w:rPr>
                <w:rFonts w:hint="default" w:ascii="Times New Roman" w:hAnsi="Times New Roman" w:eastAsia="宋体" w:cs="Times New Roman"/>
                <w:b/>
                <w:bCs/>
                <w:color w:val="auto"/>
                <w:sz w:val="24"/>
                <w:highlight w:val="none"/>
              </w:rPr>
              <w:t>的符合性分析</w:t>
            </w:r>
          </w:p>
          <w:p w14:paraId="1C7AAFE6">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highlight w:val="none"/>
                <w:lang w:val="en-US" w:eastAsia="zh-CN"/>
              </w:rPr>
              <w:t>本项目为220kV升压站项目，</w:t>
            </w:r>
            <w:r>
              <w:rPr>
                <w:rFonts w:hint="default" w:ascii="Times New Roman" w:hAnsi="Times New Roman" w:eastAsia="宋体" w:cs="Times New Roman"/>
                <w:color w:val="auto"/>
                <w:sz w:val="24"/>
                <w:szCs w:val="24"/>
                <w:highlight w:val="none"/>
                <w:lang w:val="en-US" w:eastAsia="zh-CN"/>
              </w:rPr>
              <w:t>且项目</w:t>
            </w:r>
            <w:r>
              <w:rPr>
                <w:rFonts w:hint="default" w:ascii="Times New Roman" w:hAnsi="Times New Roman" w:eastAsia="宋体" w:cs="Times New Roman"/>
                <w:color w:val="auto"/>
                <w:sz w:val="24"/>
                <w:highlight w:val="none"/>
                <w:lang w:val="en-US" w:eastAsia="zh-CN"/>
              </w:rPr>
              <w:t>不涉及输电线路工程，根据</w:t>
            </w:r>
            <w:r>
              <w:rPr>
                <w:rFonts w:hint="default" w:ascii="Times New Roman" w:hAnsi="Times New Roman" w:eastAsia="宋体" w:cs="Times New Roman"/>
                <w:color w:val="auto"/>
                <w:sz w:val="24"/>
                <w:highlight w:val="none"/>
              </w:rPr>
              <w:t>《输变电建设项目环境保护技术要求》（HJ1113-2020）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项目与《输变电建设项目环境保护技术要求》（HJ1113-2020）</w:t>
            </w:r>
            <w:r>
              <w:rPr>
                <w:rFonts w:hint="default" w:ascii="Times New Roman" w:hAnsi="Times New Roman" w:eastAsia="宋体" w:cs="Times New Roman"/>
                <w:color w:val="auto"/>
                <w:sz w:val="24"/>
                <w:highlight w:val="none"/>
                <w:lang w:val="en-US" w:eastAsia="zh-CN"/>
              </w:rPr>
              <w:t>中关于站址建设相关环境保护技术要求</w:t>
            </w:r>
            <w:r>
              <w:rPr>
                <w:rFonts w:hint="default" w:ascii="Times New Roman" w:hAnsi="Times New Roman" w:eastAsia="宋体" w:cs="Times New Roman"/>
                <w:color w:val="auto"/>
                <w:sz w:val="24"/>
                <w:highlight w:val="none"/>
              </w:rPr>
              <w:t>的符合性分析见下表：</w:t>
            </w:r>
          </w:p>
          <w:p w14:paraId="1F623FE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color w:val="auto"/>
                <w:sz w:val="24"/>
                <w:szCs w:val="24"/>
                <w:highlight w:val="none"/>
              </w:rPr>
            </w:pPr>
          </w:p>
          <w:p w14:paraId="15EF6ED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color w:val="auto"/>
                <w:sz w:val="24"/>
                <w:szCs w:val="24"/>
                <w:highlight w:val="none"/>
              </w:rPr>
            </w:pPr>
          </w:p>
          <w:p w14:paraId="7BB41EC5">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w:t>
            </w:r>
            <w:r>
              <w:rPr>
                <w:rFonts w:hint="default" w:ascii="Times New Roman" w:hAnsi="Times New Roman" w:eastAsia="宋体" w:cs="Times New Roman"/>
                <w:b/>
                <w:color w:val="auto"/>
                <w:sz w:val="24"/>
                <w:szCs w:val="24"/>
                <w:highlight w:val="none"/>
                <w:lang w:val="en-US" w:eastAsia="zh-CN"/>
              </w:rPr>
              <w:t xml:space="preserve">5  </w:t>
            </w:r>
            <w:r>
              <w:rPr>
                <w:rFonts w:hint="default" w:ascii="Times New Roman" w:hAnsi="Times New Roman" w:eastAsia="宋体" w:cs="Times New Roman"/>
                <w:b/>
                <w:color w:val="auto"/>
                <w:sz w:val="24"/>
                <w:szCs w:val="24"/>
                <w:highlight w:val="none"/>
              </w:rPr>
              <w:t>与《输变电建设项目环境保护技术要求》符合性分析</w:t>
            </w:r>
          </w:p>
          <w:tbl>
            <w:tblPr>
              <w:tblStyle w:val="49"/>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978"/>
              <w:gridCol w:w="3209"/>
              <w:gridCol w:w="686"/>
            </w:tblGrid>
            <w:tr w14:paraId="4ACC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Align w:val="center"/>
                </w:tcPr>
                <w:p w14:paraId="4B497562">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相关方面</w:t>
                  </w:r>
                </w:p>
              </w:tc>
              <w:tc>
                <w:tcPr>
                  <w:tcW w:w="1979" w:type="pct"/>
                  <w:vAlign w:val="center"/>
                </w:tcPr>
                <w:p w14:paraId="61E628CE">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相关规定内容</w:t>
                  </w:r>
                </w:p>
              </w:tc>
              <w:tc>
                <w:tcPr>
                  <w:tcW w:w="2133" w:type="pct"/>
                  <w:vAlign w:val="center"/>
                </w:tcPr>
                <w:p w14:paraId="03E1DC01">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符合性分析</w:t>
                  </w:r>
                </w:p>
              </w:tc>
              <w:tc>
                <w:tcPr>
                  <w:tcW w:w="456" w:type="pct"/>
                  <w:vAlign w:val="center"/>
                </w:tcPr>
                <w:p w14:paraId="480A3253">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分析结果</w:t>
                  </w:r>
                </w:p>
              </w:tc>
            </w:tr>
            <w:tr w14:paraId="3662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restart"/>
                  <w:vAlign w:val="center"/>
                </w:tcPr>
                <w:p w14:paraId="29E54C9D">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p w14:paraId="50F2C148">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p w14:paraId="6408918D">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p w14:paraId="0AFE163B">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选址选线</w:t>
                  </w:r>
                </w:p>
              </w:tc>
              <w:tc>
                <w:tcPr>
                  <w:tcW w:w="1979" w:type="pct"/>
                  <w:vAlign w:val="center"/>
                </w:tcPr>
                <w:p w14:paraId="7BC91A1F">
                  <w:pPr>
                    <w:keepNext w:val="0"/>
                    <w:keepLines w:val="0"/>
                    <w:pageBreakBefore w:val="0"/>
                    <w:widowControl w:val="0"/>
                    <w:kinsoku/>
                    <w:wordWrap/>
                    <w:overflowPunct/>
                    <w:topLinePunct w:val="0"/>
                    <w:autoSpaceDE/>
                    <w:autoSpaceDN/>
                    <w:bidi w:val="0"/>
                    <w:adjustRightInd/>
                    <w:snapToGrid/>
                    <w:spacing w:line="279"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p>
                <w:p w14:paraId="4B2FA7E7">
                  <w:pPr>
                    <w:keepNext w:val="0"/>
                    <w:keepLines w:val="0"/>
                    <w:pageBreakBefore w:val="0"/>
                    <w:widowControl w:val="0"/>
                    <w:kinsoku/>
                    <w:wordWrap/>
                    <w:overflowPunct/>
                    <w:topLinePunct w:val="0"/>
                    <w:autoSpaceDE/>
                    <w:autoSpaceDN/>
                    <w:bidi w:val="0"/>
                    <w:adjustRightInd/>
                    <w:snapToGrid/>
                    <w:spacing w:line="279"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p>
                <w:p w14:paraId="58018F3E">
                  <w:pPr>
                    <w:keepNext w:val="0"/>
                    <w:keepLines w:val="0"/>
                    <w:pageBreakBefore w:val="0"/>
                    <w:widowControl w:val="0"/>
                    <w:kinsoku/>
                    <w:wordWrap/>
                    <w:overflowPunct/>
                    <w:topLinePunct w:val="0"/>
                    <w:autoSpaceDE/>
                    <w:autoSpaceDN/>
                    <w:bidi w:val="0"/>
                    <w:adjustRightInd/>
                    <w:snapToGrid/>
                    <w:spacing w:line="279"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p>
                <w:p w14:paraId="27385C25">
                  <w:pPr>
                    <w:keepNext w:val="0"/>
                    <w:keepLines w:val="0"/>
                    <w:pageBreakBefore w:val="0"/>
                    <w:widowControl w:val="0"/>
                    <w:kinsoku/>
                    <w:wordWrap/>
                    <w:overflowPunct/>
                    <w:topLinePunct w:val="0"/>
                    <w:autoSpaceDE/>
                    <w:autoSpaceDN/>
                    <w:bidi w:val="0"/>
                    <w:adjustRightInd/>
                    <w:snapToGrid/>
                    <w:spacing w:line="279"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工程选址选线应符合规划环境影响评价文件的要求。</w:t>
                  </w:r>
                </w:p>
              </w:tc>
              <w:tc>
                <w:tcPr>
                  <w:tcW w:w="2133" w:type="pct"/>
                  <w:vAlign w:val="center"/>
                </w:tcPr>
                <w:p w14:paraId="3C6543DB">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本项目为</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lang w:eastAsia="zh-CN"/>
                    </w:rPr>
                    <w:t>0kV</w:t>
                  </w:r>
                  <w:r>
                    <w:rPr>
                      <w:rFonts w:hint="default" w:ascii="Times New Roman" w:hAnsi="Times New Roman" w:eastAsia="宋体" w:cs="Times New Roman"/>
                      <w:color w:val="auto"/>
                      <w:sz w:val="21"/>
                      <w:szCs w:val="21"/>
                      <w:highlight w:val="none"/>
                      <w:lang w:val="en-US" w:eastAsia="zh-CN"/>
                    </w:rPr>
                    <w:t>升压站项目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位于禄劝县团街镇境内，区域未进行过统一电力规划，但项目</w:t>
                  </w:r>
                  <w:r>
                    <w:rPr>
                      <w:rFonts w:hint="eastAsia" w:ascii="Times New Roman" w:hAnsi="Times New Roman" w:eastAsia="宋体" w:cs="Times New Roman"/>
                      <w:color w:val="auto"/>
                      <w:sz w:val="21"/>
                      <w:szCs w:val="21"/>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1"/>
                      <w:szCs w:val="21"/>
                      <w:highlight w:val="none"/>
                      <w:lang w:val="en-US" w:eastAsia="zh-CN"/>
                    </w:rPr>
                    <w:t>，中清能禄劝县岩子头200MW生态修复光伏电站项目环境影响评价阶段已包含本次评价220kV升压站土建、主体工程及相关配套工程等内容，项目的建设符合中清能禄劝县岩子头200MW生态修复光伏电站项目环境影响评价文件相关要求。</w:t>
                  </w:r>
                </w:p>
              </w:tc>
              <w:tc>
                <w:tcPr>
                  <w:tcW w:w="456" w:type="pct"/>
                  <w:vAlign w:val="center"/>
                </w:tcPr>
                <w:p w14:paraId="1F87E20F">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B76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vAlign w:val="center"/>
                </w:tcPr>
                <w:p w14:paraId="6B4F160D">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79" w:type="pct"/>
                  <w:vAlign w:val="center"/>
                </w:tcPr>
                <w:p w14:paraId="4C638826">
                  <w:pPr>
                    <w:pStyle w:val="316"/>
                    <w:keepNext w:val="0"/>
                    <w:keepLines w:val="0"/>
                    <w:pageBreakBefore w:val="0"/>
                    <w:widowControl w:val="0"/>
                    <w:kinsoku/>
                    <w:wordWrap/>
                    <w:overflowPunct/>
                    <w:topLinePunct w:val="0"/>
                    <w:autoSpaceDE/>
                    <w:autoSpaceDN/>
                    <w:bidi w:val="0"/>
                    <w:adjustRightInd/>
                    <w:snapToGrid/>
                    <w:spacing w:line="279"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aps w:val="0"/>
                      <w:color w:val="auto"/>
                      <w:spacing w:val="0"/>
                      <w:sz w:val="21"/>
                      <w:szCs w:val="21"/>
                      <w:highlight w:val="none"/>
                      <w:vertAlign w:val="baseline"/>
                      <w:lang w:val="en-US" w:eastAsia="zh-CN"/>
                    </w:rPr>
                    <w:t>原则上避免在0类声环境功能区建设变电工程。</w:t>
                  </w:r>
                </w:p>
              </w:tc>
              <w:tc>
                <w:tcPr>
                  <w:tcW w:w="2133" w:type="pct"/>
                  <w:vAlign w:val="center"/>
                </w:tcPr>
                <w:p w14:paraId="599C38D5">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w:t>
                  </w:r>
                  <w:r>
                    <w:rPr>
                      <w:rFonts w:hint="default" w:ascii="Times New Roman" w:hAnsi="Times New Roman" w:eastAsia="宋体" w:cs="Times New Roman"/>
                      <w:color w:val="auto"/>
                      <w:sz w:val="21"/>
                      <w:szCs w:val="21"/>
                      <w:highlight w:val="none"/>
                      <w:lang w:val="en-US" w:eastAsia="zh-CN"/>
                    </w:rPr>
                    <w:t>项目位于</w:t>
                  </w:r>
                  <w:r>
                    <w:rPr>
                      <w:rFonts w:hint="default" w:ascii="Times New Roman" w:hAnsi="Times New Roman" w:eastAsia="宋体" w:cs="Times New Roman"/>
                      <w:color w:val="auto"/>
                      <w:sz w:val="21"/>
                      <w:szCs w:val="21"/>
                      <w:highlight w:val="none"/>
                      <w:lang w:eastAsia="zh-CN"/>
                    </w:rPr>
                    <w:t>昆明市禄劝县团街镇境内，</w:t>
                  </w:r>
                  <w:r>
                    <w:rPr>
                      <w:rFonts w:hint="default" w:ascii="Times New Roman" w:hAnsi="Times New Roman" w:eastAsia="宋体" w:cs="Times New Roman"/>
                      <w:color w:val="auto"/>
                      <w:sz w:val="21"/>
                      <w:szCs w:val="21"/>
                      <w:highlight w:val="none"/>
                      <w:lang w:val="en-US" w:eastAsia="zh-CN"/>
                    </w:rPr>
                    <w:t>所在区域属于</w:t>
                  </w:r>
                  <w:r>
                    <w:rPr>
                      <w:rFonts w:hint="default" w:ascii="Times New Roman" w:hAnsi="Times New Roman" w:eastAsia="宋体" w:cs="Times New Roman"/>
                      <w:color w:val="auto"/>
                      <w:sz w:val="21"/>
                      <w:szCs w:val="21"/>
                      <w:highlight w:val="none"/>
                    </w:rPr>
                    <w:t>声环境</w:t>
                  </w:r>
                  <w:r>
                    <w:rPr>
                      <w:rFonts w:hint="default"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rPr>
                    <w:t>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rPr>
                    <w:t>0类声环境功能区。</w:t>
                  </w:r>
                </w:p>
              </w:tc>
              <w:tc>
                <w:tcPr>
                  <w:tcW w:w="456" w:type="pct"/>
                  <w:vAlign w:val="center"/>
                </w:tcPr>
                <w:p w14:paraId="47230013">
                  <w:pPr>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21F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vAlign w:val="center"/>
                </w:tcPr>
                <w:p w14:paraId="5DE44D2E">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79" w:type="pct"/>
                  <w:vAlign w:val="center"/>
                </w:tcPr>
                <w:p w14:paraId="5BFF802C">
                  <w:pPr>
                    <w:pStyle w:val="316"/>
                    <w:keepNext w:val="0"/>
                    <w:keepLines w:val="0"/>
                    <w:pageBreakBefore w:val="0"/>
                    <w:widowControl w:val="0"/>
                    <w:kinsoku/>
                    <w:wordWrap/>
                    <w:overflowPunct/>
                    <w:topLinePunct w:val="0"/>
                    <w:autoSpaceDE/>
                    <w:autoSpaceDN/>
                    <w:bidi w:val="0"/>
                    <w:adjustRightInd/>
                    <w:snapToGrid/>
                    <w:spacing w:line="279"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aps w:val="0"/>
                      <w:color w:val="auto"/>
                      <w:spacing w:val="0"/>
                      <w:sz w:val="21"/>
                      <w:szCs w:val="21"/>
                      <w:highlight w:val="none"/>
                      <w:vertAlign w:val="baseline"/>
                      <w:lang w:val="en-US" w:eastAsia="zh-CN"/>
                    </w:rPr>
                    <w:t>变电工程选址时，应综合考虑减少土地占用、植被砍伐和弃土弃渣等，以减少对生态环境的不利影响。</w:t>
                  </w:r>
                </w:p>
              </w:tc>
              <w:tc>
                <w:tcPr>
                  <w:tcW w:w="2133" w:type="pct"/>
                  <w:vAlign w:val="center"/>
                </w:tcPr>
                <w:p w14:paraId="4E03FA11">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本</w:t>
                  </w:r>
                  <w:r>
                    <w:rPr>
                      <w:rFonts w:hint="default" w:ascii="Times New Roman" w:hAnsi="Times New Roman" w:eastAsia="宋体" w:cs="Times New Roman"/>
                      <w:color w:val="auto"/>
                      <w:sz w:val="21"/>
                      <w:szCs w:val="21"/>
                      <w:highlight w:val="none"/>
                      <w:lang w:val="en-US" w:eastAsia="zh-CN"/>
                    </w:rPr>
                    <w:t>项目位于</w:t>
                  </w:r>
                  <w:r>
                    <w:rPr>
                      <w:rFonts w:hint="default" w:ascii="Times New Roman" w:hAnsi="Times New Roman" w:eastAsia="宋体" w:cs="Times New Roman"/>
                      <w:color w:val="auto"/>
                      <w:sz w:val="21"/>
                      <w:szCs w:val="21"/>
                      <w:highlight w:val="none"/>
                      <w:lang w:eastAsia="zh-CN"/>
                    </w:rPr>
                    <w:t>昆明市禄劝县团街镇境内，</w:t>
                  </w:r>
                  <w:r>
                    <w:rPr>
                      <w:rFonts w:hint="default" w:ascii="Times New Roman" w:hAnsi="Times New Roman" w:eastAsia="宋体" w:cs="Times New Roman"/>
                      <w:color w:val="auto"/>
                      <w:sz w:val="21"/>
                      <w:szCs w:val="21"/>
                      <w:highlight w:val="none"/>
                      <w:lang w:val="en-US" w:eastAsia="zh-CN"/>
                    </w:rPr>
                    <w:t>且占地面积较小，现施工期已结束，无环境遗留问题，运营期对生态环境影响较小。</w:t>
                  </w:r>
                </w:p>
              </w:tc>
              <w:tc>
                <w:tcPr>
                  <w:tcW w:w="456" w:type="pct"/>
                  <w:vAlign w:val="center"/>
                </w:tcPr>
                <w:p w14:paraId="2874FB0C">
                  <w:pPr>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328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Align w:val="center"/>
                </w:tcPr>
                <w:p w14:paraId="5C6620BA">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w:t>
                  </w:r>
                </w:p>
              </w:tc>
              <w:tc>
                <w:tcPr>
                  <w:tcW w:w="1979" w:type="pct"/>
                  <w:vAlign w:val="center"/>
                </w:tcPr>
                <w:p w14:paraId="649F245F">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变电工程应设置足够容量的事故油池及其配套的拦截、防雨、防渗等措施和设施。一旦发生泄漏，应能及时进行拦截和处理，确保油及油水混合物全部收集、不外排。</w:t>
                  </w:r>
                </w:p>
              </w:tc>
              <w:tc>
                <w:tcPr>
                  <w:tcW w:w="2133" w:type="pct"/>
                  <w:vAlign w:val="center"/>
                </w:tcPr>
                <w:p w14:paraId="29067F8E">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已按中清能禄劝县岩子头200MW生态修复光伏电站项目环境影响报告表要求建设</w:t>
                  </w:r>
                  <w:r>
                    <w:rPr>
                      <w:rFonts w:hint="default" w:ascii="Times New Roman" w:hAnsi="Times New Roman" w:eastAsia="宋体" w:cs="Times New Roman"/>
                      <w:color w:val="auto"/>
                      <w:sz w:val="21"/>
                      <w:szCs w:val="21"/>
                      <w:highlight w:val="none"/>
                    </w:rPr>
                    <w:t>事故油池及</w:t>
                  </w:r>
                  <w:r>
                    <w:rPr>
                      <w:rFonts w:hint="default" w:ascii="Times New Roman" w:hAnsi="Times New Roman" w:eastAsia="宋体" w:cs="Times New Roman"/>
                      <w:color w:val="auto"/>
                      <w:sz w:val="21"/>
                      <w:szCs w:val="21"/>
                      <w:highlight w:val="none"/>
                      <w:lang w:val="en-US" w:eastAsia="zh-CN"/>
                    </w:rPr>
                    <w:t>其</w:t>
                  </w:r>
                  <w:r>
                    <w:rPr>
                      <w:rFonts w:hint="default" w:ascii="Times New Roman" w:hAnsi="Times New Roman" w:eastAsia="宋体" w:cs="Times New Roman"/>
                      <w:color w:val="auto"/>
                      <w:sz w:val="21"/>
                      <w:szCs w:val="21"/>
                      <w:highlight w:val="none"/>
                    </w:rPr>
                    <w:t>拦截、防雨、防渗等措施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且运营过程中加强管理</w:t>
                  </w:r>
                  <w:r>
                    <w:rPr>
                      <w:rFonts w:hint="default" w:ascii="Times New Roman" w:hAnsi="Times New Roman" w:eastAsia="宋体" w:cs="Times New Roman"/>
                      <w:color w:val="auto"/>
                      <w:sz w:val="21"/>
                      <w:szCs w:val="21"/>
                      <w:highlight w:val="none"/>
                    </w:rPr>
                    <w:t>。</w:t>
                  </w:r>
                </w:p>
              </w:tc>
              <w:tc>
                <w:tcPr>
                  <w:tcW w:w="456" w:type="pct"/>
                  <w:vAlign w:val="center"/>
                </w:tcPr>
                <w:p w14:paraId="7BD98D76">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508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restart"/>
                  <w:vAlign w:val="center"/>
                </w:tcPr>
                <w:p w14:paraId="7C8213EA">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w:t>
                  </w:r>
                </w:p>
              </w:tc>
              <w:tc>
                <w:tcPr>
                  <w:tcW w:w="1979" w:type="pct"/>
                  <w:vAlign w:val="center"/>
                </w:tcPr>
                <w:p w14:paraId="1B96E7F2">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期做好环境保护设施的维护和运行管理，加强巡查和检查，保障发挥环境保护作用。定期开展环境监测，确保电磁、噪声、废水排放符合GB8702、GB12348、GB8978等国家标准要求，并及时解决公众合理的环境保护诉求。</w:t>
                  </w:r>
                </w:p>
              </w:tc>
              <w:tc>
                <w:tcPr>
                  <w:tcW w:w="2133" w:type="pct"/>
                  <w:vAlign w:val="center"/>
                </w:tcPr>
                <w:p w14:paraId="53D8EAEA">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本环评已要求建设单位运行期做好环境保护设施的维护和运行管理，加强巡查和检查，保障发挥环境保护作用。定期开展环境监测，确保电磁、噪声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rPr>
                    <w:t>等</w:t>
                  </w:r>
                  <w:r>
                    <w:rPr>
                      <w:rFonts w:hint="default"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rPr>
                    <w:t>国家标准要求，</w:t>
                  </w:r>
                  <w:r>
                    <w:rPr>
                      <w:rFonts w:hint="default" w:ascii="Times New Roman" w:hAnsi="Times New Roman" w:eastAsia="宋体" w:cs="Times New Roman"/>
                      <w:color w:val="auto"/>
                      <w:sz w:val="21"/>
                      <w:szCs w:val="21"/>
                      <w:highlight w:val="none"/>
                      <w:lang w:val="en-US" w:eastAsia="zh-CN"/>
                    </w:rPr>
                    <w:t>若存在</w:t>
                  </w:r>
                  <w:r>
                    <w:rPr>
                      <w:rFonts w:hint="default" w:ascii="Times New Roman" w:hAnsi="Times New Roman" w:eastAsia="宋体" w:cs="Times New Roman"/>
                      <w:color w:val="auto"/>
                      <w:sz w:val="21"/>
                      <w:szCs w:val="21"/>
                      <w:highlight w:val="none"/>
                    </w:rPr>
                    <w:t>公众合理的环境保护诉求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及时解决</w:t>
                  </w:r>
                  <w:r>
                    <w:rPr>
                      <w:rFonts w:hint="default" w:ascii="Times New Roman" w:hAnsi="Times New Roman" w:eastAsia="宋体" w:cs="Times New Roman"/>
                      <w:color w:val="auto"/>
                      <w:sz w:val="21"/>
                      <w:szCs w:val="21"/>
                      <w:highlight w:val="none"/>
                    </w:rPr>
                    <w:t>。</w:t>
                  </w:r>
                </w:p>
              </w:tc>
              <w:tc>
                <w:tcPr>
                  <w:tcW w:w="456" w:type="pct"/>
                  <w:vAlign w:val="center"/>
                </w:tcPr>
                <w:p w14:paraId="24C5BD53">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282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vAlign w:val="center"/>
                </w:tcPr>
                <w:p w14:paraId="5A7BC8C5">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79" w:type="pct"/>
                  <w:vAlign w:val="center"/>
                </w:tcPr>
                <w:p w14:paraId="31E2615A">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运行期应对事故油池的完好情况进行检查，确保无渗漏、无溢流。</w:t>
                  </w:r>
                </w:p>
              </w:tc>
              <w:tc>
                <w:tcPr>
                  <w:tcW w:w="2133" w:type="pct"/>
                  <w:vAlign w:val="center"/>
                </w:tcPr>
                <w:p w14:paraId="1FB8A34A">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运行期</w:t>
                  </w:r>
                  <w:r>
                    <w:rPr>
                      <w:rFonts w:hint="default" w:ascii="Times New Roman" w:hAnsi="Times New Roman" w:eastAsia="宋体" w:cs="Times New Roman"/>
                      <w:color w:val="auto"/>
                      <w:sz w:val="21"/>
                      <w:szCs w:val="21"/>
                      <w:highlight w:val="none"/>
                      <w:lang w:val="en-US" w:eastAsia="zh-CN"/>
                    </w:rPr>
                    <w:t>加强对</w:t>
                  </w:r>
                  <w:r>
                    <w:rPr>
                      <w:rFonts w:hint="default" w:ascii="Times New Roman" w:hAnsi="Times New Roman" w:eastAsia="宋体" w:cs="Times New Roman"/>
                      <w:color w:val="auto"/>
                      <w:sz w:val="21"/>
                      <w:szCs w:val="21"/>
                      <w:highlight w:val="none"/>
                    </w:rPr>
                    <w:t>事故油池检查</w:t>
                  </w:r>
                  <w:r>
                    <w:rPr>
                      <w:rFonts w:hint="default" w:ascii="Times New Roman" w:hAnsi="Times New Roman" w:eastAsia="宋体" w:cs="Times New Roman"/>
                      <w:color w:val="auto"/>
                      <w:sz w:val="21"/>
                      <w:szCs w:val="21"/>
                      <w:highlight w:val="none"/>
                      <w:lang w:val="en-US" w:eastAsia="zh-CN"/>
                    </w:rPr>
                    <w:t>及管理</w:t>
                  </w:r>
                  <w:r>
                    <w:rPr>
                      <w:rFonts w:hint="default" w:ascii="Times New Roman" w:hAnsi="Times New Roman" w:eastAsia="宋体" w:cs="Times New Roman"/>
                      <w:color w:val="auto"/>
                      <w:sz w:val="21"/>
                      <w:szCs w:val="21"/>
                      <w:highlight w:val="none"/>
                    </w:rPr>
                    <w:t>，确保无渗漏、无溢流。</w:t>
                  </w:r>
                </w:p>
              </w:tc>
              <w:tc>
                <w:tcPr>
                  <w:tcW w:w="456" w:type="pct"/>
                  <w:vAlign w:val="center"/>
                </w:tcPr>
                <w:p w14:paraId="13FCCDC7">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643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vAlign w:val="center"/>
                </w:tcPr>
                <w:p w14:paraId="63B71B0B">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79" w:type="pct"/>
                  <w:vAlign w:val="center"/>
                </w:tcPr>
                <w:p w14:paraId="0AA2CEDC">
                  <w:pPr>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tc>
              <w:tc>
                <w:tcPr>
                  <w:tcW w:w="2133" w:type="pct"/>
                  <w:vAlign w:val="center"/>
                </w:tcPr>
                <w:p w14:paraId="1AF6E016">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本项目运营期仅产生变压器油，项目运行期已按要求设置危废暂存间，产生的变压器油进行回收利用后，不可回收利用部分及其他危废经危废暂存间暂存后委托有危险废物处理资质的单位定期进行处置。</w:t>
                  </w:r>
                </w:p>
              </w:tc>
              <w:tc>
                <w:tcPr>
                  <w:tcW w:w="456" w:type="pct"/>
                  <w:vAlign w:val="center"/>
                </w:tcPr>
                <w:p w14:paraId="1D00F902">
                  <w:pPr>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45D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vAlign w:val="center"/>
                </w:tcPr>
                <w:p w14:paraId="2A6AB3B0">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79" w:type="pct"/>
                  <w:vAlign w:val="center"/>
                </w:tcPr>
                <w:p w14:paraId="1BEA09F2">
                  <w:pPr>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针对变电工程站内可能发生的突发环境事件，应按照HJ 169等国家有关规定制定突发环境事件应急预案，并定期演练。</w:t>
                  </w:r>
                </w:p>
              </w:tc>
              <w:tc>
                <w:tcPr>
                  <w:tcW w:w="2133" w:type="pct"/>
                  <w:vAlign w:val="center"/>
                </w:tcPr>
                <w:p w14:paraId="6892C262">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根据现场调查，升压站突发环境事件应急预案正在编制中，编制完成后按要求进行备案，并定期开展演练，加强管理。</w:t>
                  </w:r>
                </w:p>
              </w:tc>
              <w:tc>
                <w:tcPr>
                  <w:tcW w:w="456" w:type="pct"/>
                  <w:vAlign w:val="center"/>
                </w:tcPr>
                <w:p w14:paraId="30B78828">
                  <w:pPr>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198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Align w:val="center"/>
                </w:tcPr>
                <w:p w14:paraId="2B980259">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生态环境保护方面</w:t>
                  </w:r>
                </w:p>
              </w:tc>
              <w:tc>
                <w:tcPr>
                  <w:tcW w:w="1979" w:type="pct"/>
                  <w:vAlign w:val="center"/>
                </w:tcPr>
                <w:p w14:paraId="7E9334BB">
                  <w:pPr>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施工临时道路应尽可能利用机耕路、林区小路等现有道路，新建道路应严格控制道路宽度，以减少临时工程对生态环境的影响。</w:t>
                  </w:r>
                </w:p>
              </w:tc>
              <w:tc>
                <w:tcPr>
                  <w:tcW w:w="2133" w:type="pct"/>
                  <w:vAlign w:val="center"/>
                </w:tcPr>
                <w:p w14:paraId="3C9CDE86">
                  <w:pPr>
                    <w:keepNext w:val="0"/>
                    <w:keepLines w:val="0"/>
                    <w:pageBreakBefore w:val="0"/>
                    <w:widowControl w:val="0"/>
                    <w:kinsoku/>
                    <w:wordWrap/>
                    <w:overflowPunct/>
                    <w:topLinePunct w:val="0"/>
                    <w:autoSpaceDE/>
                    <w:autoSpaceDN/>
                    <w:bidi w:val="0"/>
                    <w:adjustRightInd/>
                    <w:snapToGrid/>
                    <w:spacing w:line="279"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项目位于</w:t>
                  </w:r>
                  <w:r>
                    <w:rPr>
                      <w:rFonts w:hint="default" w:ascii="Times New Roman" w:hAnsi="Times New Roman" w:eastAsia="宋体" w:cs="Times New Roman"/>
                      <w:color w:val="auto"/>
                      <w:sz w:val="21"/>
                      <w:szCs w:val="21"/>
                      <w:highlight w:val="none"/>
                      <w:lang w:eastAsia="zh-CN"/>
                    </w:rPr>
                    <w:t>昆明市禄劝县团街镇境内，</w:t>
                  </w:r>
                  <w:r>
                    <w:rPr>
                      <w:rFonts w:hint="default" w:ascii="Times New Roman" w:hAnsi="Times New Roman" w:eastAsia="宋体" w:cs="Times New Roman"/>
                      <w:color w:val="auto"/>
                      <w:sz w:val="21"/>
                      <w:szCs w:val="21"/>
                      <w:highlight w:val="none"/>
                      <w:lang w:val="en-US" w:eastAsia="zh-CN"/>
                    </w:rPr>
                    <w:t>根据调查，</w:t>
                  </w:r>
                  <w:r>
                    <w:rPr>
                      <w:rFonts w:hint="default" w:ascii="Times New Roman" w:hAnsi="Times New Roman" w:eastAsia="宋体" w:cs="Times New Roman"/>
                      <w:color w:val="auto"/>
                      <w:highlight w:val="none"/>
                      <w:lang w:val="en-US" w:eastAsia="zh-CN"/>
                    </w:rPr>
                    <w:t>升压站施工期未设置临时道路，</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highlight w:val="none"/>
                      <w:lang w:val="en-US" w:eastAsia="zh-CN"/>
                    </w:rPr>
                    <w:t>施工期已结束，不存在环境遗留问题。</w:t>
                  </w:r>
                </w:p>
              </w:tc>
              <w:tc>
                <w:tcPr>
                  <w:tcW w:w="456" w:type="pct"/>
                  <w:vAlign w:val="center"/>
                </w:tcPr>
                <w:p w14:paraId="33029468">
                  <w:pPr>
                    <w:pStyle w:val="284"/>
                    <w:keepNext w:val="0"/>
                    <w:keepLines w:val="0"/>
                    <w:pageBreakBefore w:val="0"/>
                    <w:widowControl w:val="0"/>
                    <w:kinsoku/>
                    <w:wordWrap/>
                    <w:overflowPunct/>
                    <w:topLinePunct w:val="0"/>
                    <w:autoSpaceDE/>
                    <w:autoSpaceDN/>
                    <w:bidi w:val="0"/>
                    <w:adjustRightInd/>
                    <w:snapToGrid/>
                    <w:spacing w:line="279"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A0E1E9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综上所述，本工程建设满足《输变电建设项目环境保护技术要求》（HJ1113-2020）</w:t>
            </w:r>
            <w:r>
              <w:rPr>
                <w:rFonts w:hint="default" w:ascii="Times New Roman" w:hAnsi="Times New Roman" w:eastAsia="宋体" w:cs="Times New Roman"/>
                <w:color w:val="auto"/>
                <w:kern w:val="0"/>
                <w:sz w:val="24"/>
                <w:highlight w:val="none"/>
                <w:lang w:val="en-US" w:eastAsia="zh-CN"/>
              </w:rPr>
              <w:t>中关于升压站的</w:t>
            </w:r>
            <w:r>
              <w:rPr>
                <w:rFonts w:hint="default" w:ascii="Times New Roman" w:hAnsi="Times New Roman" w:eastAsia="宋体" w:cs="Times New Roman"/>
                <w:color w:val="auto"/>
                <w:kern w:val="0"/>
                <w:sz w:val="24"/>
                <w:highlight w:val="none"/>
              </w:rPr>
              <w:t>相关要求。</w:t>
            </w:r>
          </w:p>
          <w:p w14:paraId="7CAFA843">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、与《云南省主体功能区规划》的符合性分析</w:t>
            </w:r>
          </w:p>
          <w:p w14:paraId="570965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《云南省主体功能区划》（云政发〔2014〕1号文）将云南省国土空间分为重点开发区域、限制开发区域和禁止开发区域三类。本工程涉及</w:t>
            </w:r>
            <w:r>
              <w:rPr>
                <w:rFonts w:hint="default" w:ascii="Times New Roman" w:hAnsi="Times New Roman" w:eastAsia="宋体" w:cs="Times New Roman"/>
                <w:color w:val="auto"/>
                <w:sz w:val="24"/>
                <w:highlight w:val="none"/>
                <w:lang w:eastAsia="zh-CN"/>
              </w:rPr>
              <w:t>昆明市禄劝彝族苗族自治县</w:t>
            </w:r>
            <w:r>
              <w:rPr>
                <w:rFonts w:hint="default" w:ascii="Times New Roman" w:hAnsi="Times New Roman" w:eastAsia="宋体" w:cs="Times New Roman"/>
                <w:color w:val="auto"/>
                <w:sz w:val="24"/>
                <w:highlight w:val="none"/>
              </w:rPr>
              <w:t>，属于国家农产品主产区，</w:t>
            </w:r>
            <w:r>
              <w:rPr>
                <w:rFonts w:hint="default" w:ascii="Times New Roman" w:hAnsi="Times New Roman" w:eastAsia="宋体" w:cs="Times New Roman"/>
                <w:color w:val="auto"/>
                <w:sz w:val="24"/>
                <w:highlight w:val="none"/>
                <w:lang w:val="en-US" w:eastAsia="zh-CN"/>
              </w:rPr>
              <w:t>即本项目位于</w:t>
            </w:r>
            <w:r>
              <w:rPr>
                <w:rFonts w:hint="default" w:ascii="Times New Roman" w:hAnsi="Times New Roman" w:eastAsia="宋体" w:cs="Times New Roman"/>
                <w:color w:val="auto"/>
                <w:sz w:val="24"/>
                <w:highlight w:val="none"/>
              </w:rPr>
              <w:t>国家农产品主产区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农产品主产区要以大力发展高原特色农业为重点，切实保护耕地，稳定粮食生产，发展现代农业，增强农业综合生产能力，增加农民收入，加快建设社会主义新农村，有效增强农产品供给保障能力，确保国家粮食安全和食品安全。</w:t>
            </w:r>
          </w:p>
          <w:p w14:paraId="6CE26C13">
            <w:pPr>
              <w:adjustRightIn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drawing>
                <wp:anchor distT="0" distB="0" distL="114300" distR="114300" simplePos="0" relativeHeight="251666432" behindDoc="0" locked="0" layoutInCell="1" allowOverlap="1">
                  <wp:simplePos x="0" y="0"/>
                  <wp:positionH relativeFrom="column">
                    <wp:posOffset>3307715</wp:posOffset>
                  </wp:positionH>
                  <wp:positionV relativeFrom="paragraph">
                    <wp:posOffset>1830705</wp:posOffset>
                  </wp:positionV>
                  <wp:extent cx="1485900" cy="1853565"/>
                  <wp:effectExtent l="0" t="0" r="0" b="13335"/>
                  <wp:wrapNone/>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7"/>
                          <a:stretch>
                            <a:fillRect/>
                          </a:stretch>
                        </pic:blipFill>
                        <pic:spPr>
                          <a:xfrm>
                            <a:off x="0" y="0"/>
                            <a:ext cx="1485900" cy="1853565"/>
                          </a:xfrm>
                          <a:prstGeom prst="rect">
                            <a:avLst/>
                          </a:prstGeom>
                          <a:noFill/>
                          <a:ln>
                            <a:noFill/>
                          </a:ln>
                        </pic:spPr>
                      </pic:pic>
                    </a:graphicData>
                  </a:graphic>
                </wp:anchor>
              </w:drawing>
            </w:r>
            <w:r>
              <w:rPr>
                <w:rFonts w:hint="default" w:ascii="Times New Roman" w:hAnsi="Times New Roman" w:eastAsia="宋体" w:cs="Times New Roman"/>
                <w:color w:val="auto"/>
                <w:highlight w:val="none"/>
              </w:rPr>
              <w:drawing>
                <wp:inline distT="0" distB="0" distL="114300" distR="114300">
                  <wp:extent cx="4819650" cy="3616960"/>
                  <wp:effectExtent l="9525" t="9525" r="9525" b="1206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8"/>
                          <a:srcRect t="7121"/>
                          <a:stretch>
                            <a:fillRect/>
                          </a:stretch>
                        </pic:blipFill>
                        <pic:spPr>
                          <a:xfrm>
                            <a:off x="0" y="0"/>
                            <a:ext cx="4819650" cy="3616960"/>
                          </a:xfrm>
                          <a:prstGeom prst="rect">
                            <a:avLst/>
                          </a:prstGeom>
                          <a:noFill/>
                          <a:ln>
                            <a:solidFill>
                              <a:schemeClr val="tx1"/>
                            </a:solidFill>
                          </a:ln>
                        </pic:spPr>
                      </pic:pic>
                    </a:graphicData>
                  </a:graphic>
                </wp:inline>
              </w:drawing>
            </w:r>
          </w:p>
          <w:p w14:paraId="534B5E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图1-</w:t>
            </w:r>
            <w:r>
              <w:rPr>
                <w:rFonts w:hint="default" w:ascii="Times New Roman" w:hAnsi="Times New Roman" w:eastAsia="宋体" w:cs="Times New Roman"/>
                <w:b/>
                <w:bCs/>
                <w:color w:val="auto"/>
                <w:sz w:val="24"/>
                <w:szCs w:val="24"/>
                <w:highlight w:val="none"/>
                <w:lang w:val="en-US" w:eastAsia="zh-CN"/>
              </w:rPr>
              <w:t xml:space="preserve">1  </w:t>
            </w:r>
            <w:r>
              <w:rPr>
                <w:rFonts w:hint="default" w:ascii="Times New Roman" w:hAnsi="Times New Roman" w:eastAsia="宋体" w:cs="Times New Roman"/>
                <w:b/>
                <w:bCs/>
                <w:color w:val="auto"/>
                <w:sz w:val="24"/>
                <w:szCs w:val="24"/>
                <w:highlight w:val="none"/>
              </w:rPr>
              <w:t>本工程在云南省主体功能区划中的位置示意图</w:t>
            </w:r>
          </w:p>
          <w:p w14:paraId="0D56B6C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rPr>
              <w:t>农产品主产区</w:t>
            </w:r>
            <w:r>
              <w:rPr>
                <w:rFonts w:hint="default" w:ascii="Times New Roman" w:hAnsi="Times New Roman" w:eastAsia="宋体" w:cs="Times New Roman"/>
                <w:color w:val="auto"/>
                <w:sz w:val="24"/>
                <w:highlight w:val="none"/>
                <w:lang w:val="en-US" w:eastAsia="zh-CN"/>
              </w:rPr>
              <w:t>属于限制开发区，</w:t>
            </w:r>
            <w:r>
              <w:rPr>
                <w:rFonts w:hint="default" w:ascii="Times New Roman" w:hAnsi="Times New Roman" w:eastAsia="宋体" w:cs="Times New Roman"/>
                <w:b w:val="0"/>
                <w:bCs w:val="0"/>
                <w:color w:val="auto"/>
                <w:sz w:val="24"/>
                <w:highlight w:val="none"/>
                <w:lang w:val="en-US" w:eastAsia="zh-CN"/>
              </w:rPr>
              <w:t>本环评根据</w:t>
            </w:r>
            <w:r>
              <w:rPr>
                <w:rFonts w:hint="default" w:ascii="Times New Roman" w:hAnsi="Times New Roman" w:eastAsia="宋体" w:cs="Times New Roman"/>
                <w:b w:val="0"/>
                <w:bCs w:val="0"/>
                <w:color w:val="auto"/>
                <w:sz w:val="24"/>
                <w:highlight w:val="none"/>
              </w:rPr>
              <w:t>《云南省主体功能区规划》</w:t>
            </w:r>
            <w:r>
              <w:rPr>
                <w:rFonts w:hint="default" w:ascii="Times New Roman" w:hAnsi="Times New Roman" w:eastAsia="宋体" w:cs="Times New Roman"/>
                <w:b w:val="0"/>
                <w:bCs w:val="0"/>
                <w:color w:val="auto"/>
                <w:sz w:val="24"/>
                <w:highlight w:val="none"/>
                <w:lang w:val="en-US" w:eastAsia="zh-CN"/>
              </w:rPr>
              <w:t>中“农产品主产区”的发展方向和开发原则进行对照分析，详细分析如下：</w:t>
            </w:r>
          </w:p>
          <w:p w14:paraId="22AFA09D">
            <w:pPr>
              <w:autoSpaceDE w:val="0"/>
              <w:autoSpaceDN w:val="0"/>
              <w:adjustRightIn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w:t>
            </w:r>
            <w:r>
              <w:rPr>
                <w:rFonts w:hint="default" w:ascii="Times New Roman" w:hAnsi="Times New Roman" w:eastAsia="宋体" w:cs="Times New Roman"/>
                <w:b/>
                <w:color w:val="auto"/>
                <w:sz w:val="24"/>
                <w:szCs w:val="24"/>
                <w:highlight w:val="none"/>
                <w:lang w:val="en-US" w:eastAsia="zh-CN"/>
              </w:rPr>
              <w:t xml:space="preserve">6  </w:t>
            </w:r>
            <w:r>
              <w:rPr>
                <w:rFonts w:hint="default" w:ascii="Times New Roman" w:hAnsi="Times New Roman" w:eastAsia="宋体" w:cs="Times New Roman"/>
                <w:b/>
                <w:color w:val="auto"/>
                <w:sz w:val="24"/>
                <w:szCs w:val="24"/>
                <w:highlight w:val="none"/>
              </w:rPr>
              <w:t>与农产品主产区发展方向和开发原则符合性分析</w:t>
            </w:r>
          </w:p>
          <w:tbl>
            <w:tblPr>
              <w:tblStyle w:val="49"/>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3274"/>
              <w:gridCol w:w="511"/>
            </w:tblGrid>
            <w:tr w14:paraId="1ABE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502" w:type="pct"/>
                  <w:vAlign w:val="center"/>
                </w:tcPr>
                <w:p w14:paraId="47F261CF">
                  <w:pPr>
                    <w:pStyle w:val="284"/>
                    <w:keepNext w:val="0"/>
                    <w:keepLines w:val="0"/>
                    <w:pageBreakBefore w:val="0"/>
                    <w:widowControl w:val="0"/>
                    <w:kinsoku/>
                    <w:wordWrap/>
                    <w:overflowPunct/>
                    <w:topLinePunct w:val="0"/>
                    <w:autoSpaceDE/>
                    <w:autoSpaceDN/>
                    <w:bidi w:val="0"/>
                    <w:adjustRightInd/>
                    <w:snapToGrid/>
                    <w:spacing w:line="252"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发展方向和开发原则</w:t>
                  </w:r>
                  <w:r>
                    <w:rPr>
                      <w:rFonts w:hint="default" w:ascii="Times New Roman" w:hAnsi="Times New Roman" w:eastAsia="宋体" w:cs="Times New Roman"/>
                      <w:b/>
                      <w:color w:val="auto"/>
                      <w:sz w:val="21"/>
                      <w:szCs w:val="21"/>
                      <w:highlight w:val="none"/>
                      <w:lang w:val="en-US" w:eastAsia="zh-CN"/>
                    </w:rPr>
                    <w:t>要求</w:t>
                  </w:r>
                </w:p>
              </w:tc>
              <w:tc>
                <w:tcPr>
                  <w:tcW w:w="2160" w:type="pct"/>
                  <w:vAlign w:val="center"/>
                </w:tcPr>
                <w:p w14:paraId="43FEC474">
                  <w:pPr>
                    <w:pStyle w:val="284"/>
                    <w:keepNext w:val="0"/>
                    <w:keepLines w:val="0"/>
                    <w:pageBreakBefore w:val="0"/>
                    <w:widowControl w:val="0"/>
                    <w:kinsoku/>
                    <w:wordWrap/>
                    <w:overflowPunct/>
                    <w:topLinePunct w:val="0"/>
                    <w:autoSpaceDE/>
                    <w:autoSpaceDN/>
                    <w:bidi w:val="0"/>
                    <w:adjustRightInd/>
                    <w:snapToGrid/>
                    <w:spacing w:line="252"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符合性分析</w:t>
                  </w:r>
                </w:p>
              </w:tc>
              <w:tc>
                <w:tcPr>
                  <w:tcW w:w="337" w:type="pct"/>
                  <w:vAlign w:val="center"/>
                </w:tcPr>
                <w:p w14:paraId="36BF5604">
                  <w:pPr>
                    <w:pStyle w:val="284"/>
                    <w:keepNext w:val="0"/>
                    <w:keepLines w:val="0"/>
                    <w:pageBreakBefore w:val="0"/>
                    <w:widowControl w:val="0"/>
                    <w:kinsoku/>
                    <w:wordWrap/>
                    <w:overflowPunct/>
                    <w:topLinePunct w:val="0"/>
                    <w:autoSpaceDE/>
                    <w:autoSpaceDN/>
                    <w:bidi w:val="0"/>
                    <w:adjustRightInd/>
                    <w:snapToGrid/>
                    <w:spacing w:line="264" w:lineRule="auto"/>
                    <w:ind w:left="-105" w:leftChars="-50" w:right="-105" w:rightChars="-5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分析结果</w:t>
                  </w:r>
                </w:p>
              </w:tc>
            </w:tr>
            <w:tr w14:paraId="0710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jc w:val="center"/>
              </w:trPr>
              <w:tc>
                <w:tcPr>
                  <w:tcW w:w="2502" w:type="pct"/>
                  <w:vAlign w:val="center"/>
                </w:tcPr>
                <w:p w14:paraId="35D6A8A6">
                  <w:pPr>
                    <w:pStyle w:val="284"/>
                    <w:keepNext w:val="0"/>
                    <w:keepLines w:val="0"/>
                    <w:pageBreakBefore w:val="0"/>
                    <w:widowControl w:val="0"/>
                    <w:kinsoku/>
                    <w:wordWrap/>
                    <w:overflowPunct/>
                    <w:topLinePunct w:val="0"/>
                    <w:autoSpaceDE/>
                    <w:autoSpaceDN/>
                    <w:bidi w:val="0"/>
                    <w:adjustRightInd/>
                    <w:snapToGrid/>
                    <w:spacing w:line="252"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打破行政区划，推进优势农产品向优势产区集中，建设一批特色产业的规模化、集约化基地，尽快形成一批优质特色农产品产业群、产业带，加快特色产业发展，推进现代农业建设。</w:t>
                  </w:r>
                </w:p>
              </w:tc>
              <w:tc>
                <w:tcPr>
                  <w:tcW w:w="2160" w:type="pct"/>
                  <w:vAlign w:val="center"/>
                </w:tcPr>
                <w:p w14:paraId="397D8974">
                  <w:pPr>
                    <w:pStyle w:val="284"/>
                    <w:keepNext w:val="0"/>
                    <w:keepLines w:val="0"/>
                    <w:pageBreakBefore w:val="0"/>
                    <w:widowControl w:val="0"/>
                    <w:kinsoku/>
                    <w:wordWrap/>
                    <w:overflowPunct/>
                    <w:topLinePunct w:val="0"/>
                    <w:autoSpaceDE/>
                    <w:autoSpaceDN/>
                    <w:bidi w:val="0"/>
                    <w:adjustRightInd/>
                    <w:snapToGrid/>
                    <w:spacing w:line="252" w:lineRule="auto"/>
                    <w:ind w:left="-84" w:leftChars="-40" w:right="-84" w:rightChars="-4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开发</w:t>
                  </w:r>
                  <w:r>
                    <w:rPr>
                      <w:rFonts w:hint="default" w:ascii="Times New Roman" w:hAnsi="Times New Roman" w:eastAsia="宋体" w:cs="Times New Roman"/>
                      <w:color w:val="auto"/>
                      <w:sz w:val="21"/>
                      <w:szCs w:val="21"/>
                      <w:highlight w:val="none"/>
                      <w:lang w:val="en-US" w:eastAsia="zh-CN"/>
                    </w:rPr>
                    <w:t>性、生产性建设项目，为220kV升压站，项目占地面积较小，不涉及占用基本农田，且施工期已结束，施工期影响已随着施工期的结束而消失，不存在环境遗留问题，且本项目的建设有利于促进当地</w:t>
                  </w:r>
                  <w:r>
                    <w:rPr>
                      <w:rFonts w:hint="default" w:ascii="Times New Roman" w:hAnsi="Times New Roman" w:eastAsia="宋体" w:cs="Times New Roman"/>
                      <w:color w:val="auto"/>
                      <w:sz w:val="21"/>
                      <w:szCs w:val="21"/>
                      <w:highlight w:val="none"/>
                    </w:rPr>
                    <w:t>现代农业建设</w:t>
                  </w:r>
                  <w:r>
                    <w:rPr>
                      <w:rFonts w:hint="default" w:ascii="Times New Roman" w:hAnsi="Times New Roman" w:eastAsia="宋体" w:cs="Times New Roman"/>
                      <w:color w:val="auto"/>
                      <w:sz w:val="21"/>
                      <w:szCs w:val="21"/>
                      <w:highlight w:val="none"/>
                      <w:lang w:val="en-US" w:eastAsia="zh-CN"/>
                    </w:rPr>
                    <w:t>。项目建设符合相关要求。</w:t>
                  </w:r>
                </w:p>
              </w:tc>
              <w:tc>
                <w:tcPr>
                  <w:tcW w:w="337" w:type="pct"/>
                  <w:vAlign w:val="center"/>
                </w:tcPr>
                <w:p w14:paraId="74C98915">
                  <w:pPr>
                    <w:pStyle w:val="284"/>
                    <w:keepNext w:val="0"/>
                    <w:keepLines w:val="0"/>
                    <w:pageBreakBefore w:val="0"/>
                    <w:widowControl w:val="0"/>
                    <w:kinsoku/>
                    <w:wordWrap/>
                    <w:overflowPunct/>
                    <w:topLinePunct w:val="0"/>
                    <w:autoSpaceDE/>
                    <w:autoSpaceDN/>
                    <w:bidi w:val="0"/>
                    <w:adjustRightInd/>
                    <w:snapToGrid/>
                    <w:spacing w:line="264"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p>
                <w:p w14:paraId="065BD86D">
                  <w:pPr>
                    <w:pStyle w:val="284"/>
                    <w:keepNext w:val="0"/>
                    <w:keepLines w:val="0"/>
                    <w:pageBreakBefore w:val="0"/>
                    <w:widowControl w:val="0"/>
                    <w:kinsoku/>
                    <w:wordWrap/>
                    <w:overflowPunct/>
                    <w:topLinePunct w:val="0"/>
                    <w:autoSpaceDE/>
                    <w:autoSpaceDN/>
                    <w:bidi w:val="0"/>
                    <w:adjustRightInd/>
                    <w:snapToGrid/>
                    <w:spacing w:line="264"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w:t>
                  </w:r>
                </w:p>
                <w:p w14:paraId="690762F5">
                  <w:pPr>
                    <w:pStyle w:val="284"/>
                    <w:keepNext w:val="0"/>
                    <w:keepLines w:val="0"/>
                    <w:pageBreakBefore w:val="0"/>
                    <w:widowControl w:val="0"/>
                    <w:kinsoku/>
                    <w:wordWrap/>
                    <w:overflowPunct/>
                    <w:topLinePunct w:val="0"/>
                    <w:autoSpaceDE/>
                    <w:autoSpaceDN/>
                    <w:bidi w:val="0"/>
                    <w:adjustRightInd/>
                    <w:snapToGrid/>
                    <w:spacing w:line="264"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w:t>
                  </w:r>
                </w:p>
              </w:tc>
            </w:tr>
            <w:tr w14:paraId="2BF1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2502" w:type="pct"/>
                  <w:vAlign w:val="center"/>
                </w:tcPr>
                <w:p w14:paraId="05047B2C">
                  <w:pPr>
                    <w:pStyle w:val="284"/>
                    <w:keepNext w:val="0"/>
                    <w:keepLines w:val="0"/>
                    <w:pageBreakBefore w:val="0"/>
                    <w:widowControl w:val="0"/>
                    <w:kinsoku/>
                    <w:wordWrap/>
                    <w:overflowPunct/>
                    <w:topLinePunct w:val="0"/>
                    <w:autoSpaceDE/>
                    <w:autoSpaceDN/>
                    <w:bidi w:val="0"/>
                    <w:adjustRightInd/>
                    <w:snapToGrid/>
                    <w:spacing w:line="252"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稳定粮食种植面积，努力提高粮食单产，加大对粮食生产的扶持力度，建设一批基础条件好、生产水平高的粮食生产基地。</w:t>
                  </w:r>
                </w:p>
              </w:tc>
              <w:tc>
                <w:tcPr>
                  <w:tcW w:w="2160" w:type="pct"/>
                  <w:vAlign w:val="center"/>
                </w:tcPr>
                <w:p w14:paraId="4101A2AA">
                  <w:pPr>
                    <w:pStyle w:val="284"/>
                    <w:keepNext w:val="0"/>
                    <w:keepLines w:val="0"/>
                    <w:pageBreakBefore w:val="0"/>
                    <w:widowControl w:val="0"/>
                    <w:kinsoku/>
                    <w:wordWrap/>
                    <w:overflowPunct/>
                    <w:topLinePunct w:val="0"/>
                    <w:autoSpaceDE/>
                    <w:autoSpaceDN/>
                    <w:bidi w:val="0"/>
                    <w:adjustRightInd/>
                    <w:snapToGrid/>
                    <w:spacing w:line="252" w:lineRule="auto"/>
                    <w:ind w:left="-84" w:leftChars="-40" w:right="-84" w:rightChars="-4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项目为220kV升压站，项目占地面积较小，不涉及占用基本农田，且施工期已结束，施工期影响已随着施工期的结束而消失，不存在环境遗留问题。项目运营期对粮食生产无影响，项目建设与该要求不冲突。</w:t>
                  </w:r>
                </w:p>
              </w:tc>
              <w:tc>
                <w:tcPr>
                  <w:tcW w:w="337" w:type="pct"/>
                  <w:vAlign w:val="center"/>
                </w:tcPr>
                <w:p w14:paraId="792A333B">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AAD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2502" w:type="pct"/>
                  <w:vAlign w:val="center"/>
                </w:tcPr>
                <w:p w14:paraId="45A4A003">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加快无公害蔬菜、高档花卉、优质烟叶、优质稻米、优质畜产品和优质水产品等高原特色农业发展，建设规模化、标准化、集约化原料基地，提高农产品质量。</w:t>
                  </w:r>
                </w:p>
              </w:tc>
              <w:tc>
                <w:tcPr>
                  <w:tcW w:w="2160" w:type="pct"/>
                  <w:vAlign w:val="center"/>
                </w:tcPr>
                <w:p w14:paraId="0C0B2B3E">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37D37C8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p>
                <w:p w14:paraId="517E2864">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A9B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2502" w:type="pct"/>
                  <w:vAlign w:val="center"/>
                </w:tcPr>
                <w:p w14:paraId="765100CF">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以转变生产经营方式、提高生产水平为重点，加大“五小”水利基础设施建设，积极开拓市场，推进农林牧结合，大力发展优质草食畜牧、优势特色经济林、优质蚕桑、道地中药材等产业。</w:t>
                  </w:r>
                </w:p>
              </w:tc>
              <w:tc>
                <w:tcPr>
                  <w:tcW w:w="2160" w:type="pct"/>
                  <w:vAlign w:val="center"/>
                </w:tcPr>
                <w:p w14:paraId="121E0D35">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6EEBCC98">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FEB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2502" w:type="pct"/>
                  <w:vAlign w:val="center"/>
                </w:tcPr>
                <w:p w14:paraId="5628C929">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发挥光热水土资源富集的优势，以甘蔗、茶叶、橡胶、热带水果、冬早蔬菜、咖啡、观赏绿化植物等为重点，加大开发力度，扩大冬季农业开发规模、稳步发展生物质能原料产业，积极发展精深加工，促进热区优势特色产业发展。</w:t>
                  </w:r>
                </w:p>
              </w:tc>
              <w:tc>
                <w:tcPr>
                  <w:tcW w:w="2160" w:type="pct"/>
                  <w:vAlign w:val="center"/>
                </w:tcPr>
                <w:p w14:paraId="16C7CB49">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31E24664">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B6F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2502" w:type="pct"/>
                  <w:vAlign w:val="center"/>
                </w:tcPr>
                <w:p w14:paraId="1834F33F">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大力实施退耕还林、绿化荒山荒地，恢复林草植被。发展生态农业，生产适销对路的新、优、特农产品，发展无公害产品、绿色食品和有机食品，实现经济效益、生态效益和社会效益相统一。</w:t>
                  </w:r>
                </w:p>
              </w:tc>
              <w:tc>
                <w:tcPr>
                  <w:tcW w:w="2160" w:type="pct"/>
                  <w:vAlign w:val="center"/>
                </w:tcPr>
                <w:p w14:paraId="0D616CEC">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项目为220kV升压站，项目占地面积较小，不涉及占用基本农田，且施工期已结束，施工期影响已随着施工期的结束而消失，不存在环境遗留问题。项目运营期对生态农业无影响，项目建设与该要求不冲突。</w:t>
                  </w:r>
                </w:p>
              </w:tc>
              <w:tc>
                <w:tcPr>
                  <w:tcW w:w="337" w:type="pct"/>
                  <w:vAlign w:val="center"/>
                </w:tcPr>
                <w:p w14:paraId="4725D3C9">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p>
                <w:p w14:paraId="51B2F7B9">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FCD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2502" w:type="pct"/>
                  <w:vAlign w:val="center"/>
                </w:tcPr>
                <w:p w14:paraId="3955E0BF">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实加强农业基础设施、装备建设。以农田水利基础设施建设为主，突出抓好以水浇地、坡改梯和中低产田改造为重点的高稳产农田建设，加强大中型灌区续建配套和节水改造，提高人工增雨抗旱和防雹减灾作业能力。以提高农业生产装备保障能力为目标，切实加快农业机械化步伐。</w:t>
                  </w:r>
                </w:p>
              </w:tc>
              <w:tc>
                <w:tcPr>
                  <w:tcW w:w="2160" w:type="pct"/>
                  <w:vAlign w:val="center"/>
                </w:tcPr>
                <w:p w14:paraId="51E9D0E8">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本项目为220kV升压站，项目占地面积较小，不涉及占用基本农田，且施工期已结束，施工期影响已随着施工期的结束而消失，不存在环境遗留问题，且本项目的建设有利于促进当地</w:t>
                  </w:r>
                  <w:r>
                    <w:rPr>
                      <w:rFonts w:hint="default" w:ascii="Times New Roman" w:hAnsi="Times New Roman" w:eastAsia="宋体" w:cs="Times New Roman"/>
                      <w:color w:val="auto"/>
                      <w:sz w:val="21"/>
                      <w:szCs w:val="21"/>
                      <w:highlight w:val="none"/>
                    </w:rPr>
                    <w:t>现代农业建设</w:t>
                  </w:r>
                  <w:r>
                    <w:rPr>
                      <w:rFonts w:hint="default" w:ascii="Times New Roman" w:hAnsi="Times New Roman" w:eastAsia="宋体" w:cs="Times New Roman"/>
                      <w:color w:val="auto"/>
                      <w:sz w:val="21"/>
                      <w:szCs w:val="21"/>
                      <w:highlight w:val="none"/>
                      <w:lang w:val="en-US" w:eastAsia="zh-CN"/>
                    </w:rPr>
                    <w:t>。项目建设符合相关要求。</w:t>
                  </w:r>
                </w:p>
              </w:tc>
              <w:tc>
                <w:tcPr>
                  <w:tcW w:w="337" w:type="pct"/>
                  <w:vAlign w:val="center"/>
                </w:tcPr>
                <w:p w14:paraId="4A8843DD">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329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2502" w:type="pct"/>
                  <w:vAlign w:val="center"/>
                </w:tcPr>
                <w:p w14:paraId="60CB9396">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确定适宜渔业养殖的水域、滩涂，大力发展水库，坝塘、稻田水产养殖业。在南部和低热河谷地区重点扶持发展罗非鱼养殖加工。在天然湖泊、重要江河积极开展渔业资源人工增殖放流，全面实施捕捞许可证制度。</w:t>
                  </w:r>
                </w:p>
              </w:tc>
              <w:tc>
                <w:tcPr>
                  <w:tcW w:w="2160" w:type="pct"/>
                  <w:vAlign w:val="center"/>
                </w:tcPr>
                <w:p w14:paraId="16DC3BEF">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0DD92316">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733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502" w:type="pct"/>
                  <w:vAlign w:val="center"/>
                </w:tcPr>
                <w:p w14:paraId="49FF3472">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加强农村劳动力培训，开展多种形式就业培训，拓宽转移就业渠道，努力扩大培训规模。加强就业服务机构建设，完善就业服务体系，为农民提供就业信息。</w:t>
                  </w:r>
                </w:p>
              </w:tc>
              <w:tc>
                <w:tcPr>
                  <w:tcW w:w="2160" w:type="pct"/>
                  <w:vAlign w:val="center"/>
                </w:tcPr>
                <w:p w14:paraId="7B499F7C">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35F43D19">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6D6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2502" w:type="pct"/>
                  <w:vAlign w:val="center"/>
                </w:tcPr>
                <w:p w14:paraId="068F88A6">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p>
                <w:p w14:paraId="72CB6B53">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农村居民点以及农村基础设施和公共服务设施的建设，要统筹考虑人口迁移等因素，适度集中、集约布局。</w:t>
                  </w:r>
                </w:p>
              </w:tc>
              <w:tc>
                <w:tcPr>
                  <w:tcW w:w="2160" w:type="pct"/>
                  <w:vAlign w:val="center"/>
                </w:tcPr>
                <w:p w14:paraId="30B09829">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项目为220kV升压站，项目设计阶段</w:t>
                  </w:r>
                  <w:r>
                    <w:rPr>
                      <w:rFonts w:hint="default" w:ascii="Times New Roman" w:hAnsi="Times New Roman" w:eastAsia="宋体" w:cs="Times New Roman"/>
                      <w:color w:val="auto"/>
                      <w:sz w:val="21"/>
                      <w:szCs w:val="21"/>
                      <w:highlight w:val="none"/>
                    </w:rPr>
                    <w:t>统筹考虑人口迁移等因素</w:t>
                  </w:r>
                  <w:r>
                    <w:rPr>
                      <w:rFonts w:hint="default" w:ascii="Times New Roman" w:hAnsi="Times New Roman" w:eastAsia="宋体" w:cs="Times New Roman"/>
                      <w:color w:val="auto"/>
                      <w:sz w:val="21"/>
                      <w:szCs w:val="21"/>
                      <w:highlight w:val="none"/>
                      <w:lang w:val="en-US" w:eastAsia="zh-CN"/>
                    </w:rPr>
                    <w:t>进行设计及建设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项目的建设有利于完善当地供电基础设施建设。项目建设符合相关要求。</w:t>
                  </w:r>
                </w:p>
              </w:tc>
              <w:tc>
                <w:tcPr>
                  <w:tcW w:w="337" w:type="pct"/>
                  <w:vAlign w:val="center"/>
                </w:tcPr>
                <w:p w14:paraId="5D136943">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422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502" w:type="pct"/>
                  <w:vAlign w:val="center"/>
                </w:tcPr>
                <w:p w14:paraId="0B37EB7F">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垦区要继续巩固提高橡胶、茶叶等传统优势农业，发展畜牧、蔬菜、经济林木(果)、花卉等特色农业，发挥各地自身优势，突出特色，宜果则果，宜菜则菜，宜花则花，建设现代化种养殖基地和加工基地，大力发展适合当地特点、具有市场竞争优势的各类特色农业，促进农业产业结构调整和升级。</w:t>
                  </w:r>
                </w:p>
              </w:tc>
              <w:tc>
                <w:tcPr>
                  <w:tcW w:w="2160" w:type="pct"/>
                  <w:vAlign w:val="center"/>
                </w:tcPr>
                <w:p w14:paraId="254C0B25">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50C14E69">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9F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502" w:type="pct"/>
                  <w:vAlign w:val="center"/>
                </w:tcPr>
                <w:p w14:paraId="33F7D74A">
                  <w:pPr>
                    <w:pStyle w:val="284"/>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加快农业走出去步伐，推进国际化合作，扩大农业对内对外开放。</w:t>
                  </w:r>
                </w:p>
              </w:tc>
              <w:tc>
                <w:tcPr>
                  <w:tcW w:w="2160" w:type="pct"/>
                  <w:vAlign w:val="center"/>
                </w:tcPr>
                <w:p w14:paraId="2392D360">
                  <w:pPr>
                    <w:keepNext w:val="0"/>
                    <w:keepLines w:val="0"/>
                    <w:pageBreakBefore w:val="0"/>
                    <w:widowControl w:val="0"/>
                    <w:kinsoku/>
                    <w:wordWrap/>
                    <w:overflowPunct/>
                    <w:topLinePunct w:val="0"/>
                    <w:autoSpaceDE/>
                    <w:autoSpaceDN/>
                    <w:bidi w:val="0"/>
                    <w:adjustRightInd/>
                    <w:snapToGrid/>
                    <w:spacing w:line="264"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337" w:type="pct"/>
                  <w:vAlign w:val="center"/>
                </w:tcPr>
                <w:p w14:paraId="5567056A">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2CAE1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根据对照分析可知，本项目的建设</w:t>
            </w:r>
            <w:r>
              <w:rPr>
                <w:rFonts w:hint="default" w:ascii="Times New Roman" w:hAnsi="Times New Roman" w:eastAsia="宋体" w:cs="Times New Roman"/>
                <w:b w:val="0"/>
                <w:bCs w:val="0"/>
                <w:color w:val="auto"/>
                <w:sz w:val="24"/>
                <w:highlight w:val="none"/>
                <w:lang w:val="en-US" w:eastAsia="zh-CN"/>
              </w:rPr>
              <w:t>符合</w:t>
            </w:r>
            <w:r>
              <w:rPr>
                <w:rFonts w:hint="default" w:ascii="Times New Roman" w:hAnsi="Times New Roman" w:eastAsia="宋体" w:cs="Times New Roman"/>
                <w:b w:val="0"/>
                <w:bCs w:val="0"/>
                <w:color w:val="auto"/>
                <w:sz w:val="24"/>
                <w:highlight w:val="none"/>
              </w:rPr>
              <w:t>《云南省主体功能区规划》</w:t>
            </w:r>
            <w:r>
              <w:rPr>
                <w:rFonts w:hint="default" w:ascii="Times New Roman" w:hAnsi="Times New Roman" w:eastAsia="宋体" w:cs="Times New Roman"/>
                <w:b w:val="0"/>
                <w:bCs w:val="0"/>
                <w:color w:val="auto"/>
                <w:sz w:val="24"/>
                <w:highlight w:val="none"/>
                <w:lang w:val="en-US" w:eastAsia="zh-CN"/>
              </w:rPr>
              <w:t>中“农产品主产区”的发展方向和开发原则相关要求。</w:t>
            </w:r>
          </w:p>
          <w:p w14:paraId="58F896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与《云南省生态功能区划》的符合性分析</w:t>
            </w:r>
          </w:p>
          <w:p w14:paraId="6BDA48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lang w:eastAsia="zh-CN"/>
              </w:rPr>
            </w:pPr>
            <w:r>
              <w:rPr>
                <w:rFonts w:hint="default" w:ascii="Times New Roman" w:hAnsi="Times New Roman" w:eastAsia="宋体" w:cs="Times New Roman"/>
                <w:color w:val="auto"/>
                <w:sz w:val="24"/>
                <w:highlight w:val="none"/>
                <w:lang w:val="en-US" w:eastAsia="zh-CN"/>
              </w:rPr>
              <w:t>根</w:t>
            </w:r>
            <w:r>
              <w:rPr>
                <w:rFonts w:hint="default" w:ascii="Times New Roman" w:hAnsi="Times New Roman" w:eastAsia="宋体" w:cs="Times New Roman"/>
                <w:color w:val="auto"/>
                <w:sz w:val="24"/>
                <w:highlight w:val="none"/>
              </w:rPr>
              <w:t>据《云南省生态功能区划》，本项目位于Ⅲ1-</w:t>
            </w:r>
            <w:r>
              <w:rPr>
                <w:rFonts w:hint="default" w:ascii="Times New Roman" w:hAnsi="Times New Roman" w:eastAsia="宋体" w:cs="Times New Roman"/>
                <w:color w:val="auto"/>
                <w:sz w:val="24"/>
                <w:highlight w:val="none"/>
                <w:lang w:val="en-US" w:eastAsia="zh-CN"/>
              </w:rPr>
              <w:t>9普渡河干流、小江上游水土保持</w:t>
            </w:r>
            <w:r>
              <w:rPr>
                <w:rFonts w:hint="default" w:ascii="Times New Roman" w:hAnsi="Times New Roman" w:eastAsia="宋体" w:cs="Times New Roman"/>
                <w:color w:val="auto"/>
                <w:sz w:val="24"/>
                <w:highlight w:val="none"/>
              </w:rPr>
              <w:t>生态功能区</w:t>
            </w:r>
            <w:r>
              <w:rPr>
                <w:rFonts w:hint="default" w:ascii="Times New Roman" w:hAnsi="Times New Roman" w:eastAsia="宋体" w:cs="Times New Roman"/>
                <w:color w:val="auto"/>
                <w:sz w:val="24"/>
                <w:highlight w:val="none"/>
                <w:lang w:eastAsia="zh-CN"/>
              </w:rPr>
              <w:t>，该</w:t>
            </w:r>
            <w:r>
              <w:rPr>
                <w:rFonts w:hint="default" w:ascii="Times New Roman" w:hAnsi="Times New Roman" w:eastAsia="宋体" w:cs="Times New Roman"/>
                <w:color w:val="auto"/>
                <w:sz w:val="24"/>
                <w:highlight w:val="none"/>
              </w:rPr>
              <w:t>生态功能区分布于寻甸县大部地区，禄劝县东部地区，面积为3935.88 平方公里。该区域的主要生态特征是：以中山峡谷地貌为主。年降雨量在普渡河河谷为800毫米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高原面上为1200-1500毫米，植被垂直地带性分布明显，现存植被以云南松林为主，土壤以红壤和紫色土为主。主要生态系统服务功能为：普渡河和小江上游的水土保持。保护措施与发展方向为：保护现有植被，加大封山育林的强度，营造水土保护林，严格退耕还林，提高区域的森林数量及质量。</w:t>
            </w:r>
          </w:p>
          <w:p w14:paraId="7A1A76AD">
            <w:pPr>
              <w:pStyle w:val="70"/>
              <w:keepNext w:val="0"/>
              <w:keepLines w:val="0"/>
              <w:pageBreakBefore w:val="0"/>
              <w:widowControl w:val="0"/>
              <w:kinsoku/>
              <w:wordWrap/>
              <w:overflowPunct/>
              <w:topLinePunct w:val="0"/>
              <w:autoSpaceDE/>
              <w:autoSpaceDN/>
              <w:bidi w:val="0"/>
              <w:snapToGrid/>
              <w:ind w:left="0" w:leftChars="0" w:right="0" w:rightChars="0" w:firstLine="496"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220kV升压站建设项目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项目占地仅为升压站建设占地，</w:t>
            </w:r>
            <w:r>
              <w:rPr>
                <w:rFonts w:hint="default" w:ascii="Times New Roman" w:hAnsi="Times New Roman" w:eastAsia="宋体" w:cs="Times New Roman"/>
                <w:color w:val="auto"/>
                <w:sz w:val="24"/>
                <w:szCs w:val="24"/>
                <w:highlight w:val="none"/>
              </w:rPr>
              <w:t>占地面积较小，</w:t>
            </w:r>
            <w:r>
              <w:rPr>
                <w:rFonts w:hint="default" w:ascii="Times New Roman" w:hAnsi="Times New Roman" w:eastAsia="宋体" w:cs="Times New Roman"/>
                <w:color w:val="auto"/>
                <w:sz w:val="24"/>
                <w:szCs w:val="24"/>
                <w:highlight w:val="none"/>
                <w:lang w:val="en-US" w:eastAsia="zh-CN"/>
              </w:rPr>
              <w:t>现项目施工期已结束，施工期影响已随着施工期的结束而消失，不存在环境遗留问题，项目运营期通过加强管理对生态环境影响较小</w:t>
            </w:r>
            <w:r>
              <w:rPr>
                <w:rFonts w:hint="default" w:ascii="Times New Roman" w:hAnsi="Times New Roman" w:eastAsia="宋体" w:cs="Times New Roman"/>
                <w:color w:val="auto"/>
                <w:sz w:val="24"/>
                <w:szCs w:val="24"/>
                <w:highlight w:val="none"/>
              </w:rPr>
              <w:t>。因此，本工</w:t>
            </w:r>
            <w:r>
              <w:rPr>
                <w:rFonts w:hint="default" w:ascii="Times New Roman" w:hAnsi="Times New Roman" w:eastAsia="宋体" w:cs="Times New Roman"/>
                <w:color w:val="auto"/>
                <w:sz w:val="24"/>
                <w:highlight w:val="none"/>
              </w:rPr>
              <w:t>程与《云南省生态功能区划》不冲突。</w:t>
            </w:r>
          </w:p>
          <w:p w14:paraId="2705E31C">
            <w:pPr>
              <w:pStyle w:val="70"/>
              <w:keepNext w:val="0"/>
              <w:keepLines w:val="0"/>
              <w:pageBreakBefore w:val="0"/>
              <w:widowControl w:val="0"/>
              <w:kinsoku/>
              <w:wordWrap/>
              <w:overflowPunct/>
              <w:topLinePunct w:val="0"/>
              <w:autoSpaceDE/>
              <w:autoSpaceDN/>
              <w:bidi w:val="0"/>
              <w:snapToGrid/>
              <w:ind w:left="0" w:leftChars="0" w:right="0" w:rightChars="0" w:firstLine="0" w:firstLineChars="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drawing>
                <wp:anchor distT="0" distB="0" distL="114300" distR="114300" simplePos="0" relativeHeight="251671552" behindDoc="0" locked="0" layoutInCell="1" allowOverlap="1">
                  <wp:simplePos x="0" y="0"/>
                  <wp:positionH relativeFrom="column">
                    <wp:posOffset>3098800</wp:posOffset>
                  </wp:positionH>
                  <wp:positionV relativeFrom="paragraph">
                    <wp:posOffset>1491615</wp:posOffset>
                  </wp:positionV>
                  <wp:extent cx="1659890" cy="1827530"/>
                  <wp:effectExtent l="0" t="0" r="16510" b="1270"/>
                  <wp:wrapNone/>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9"/>
                          <a:stretch>
                            <a:fillRect/>
                          </a:stretch>
                        </pic:blipFill>
                        <pic:spPr>
                          <a:xfrm>
                            <a:off x="0" y="0"/>
                            <a:ext cx="1659890" cy="1827530"/>
                          </a:xfrm>
                          <a:prstGeom prst="rect">
                            <a:avLst/>
                          </a:prstGeom>
                          <a:noFill/>
                          <a:ln>
                            <a:noFill/>
                          </a:ln>
                        </pic:spPr>
                      </pic:pic>
                    </a:graphicData>
                  </a:graphic>
                </wp:anchor>
              </w:drawing>
            </w:r>
            <w:r>
              <w:rPr>
                <w:rFonts w:hint="default" w:ascii="Times New Roman" w:hAnsi="Times New Roman" w:eastAsia="宋体" w:cs="Times New Roman"/>
                <w:color w:val="auto"/>
                <w:highlight w:val="none"/>
              </w:rPr>
              <w:drawing>
                <wp:inline distT="0" distB="0" distL="114300" distR="114300">
                  <wp:extent cx="4767580" cy="3280410"/>
                  <wp:effectExtent l="9525" t="9525" r="23495" b="2476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4767580" cy="3280410"/>
                          </a:xfrm>
                          <a:prstGeom prst="rect">
                            <a:avLst/>
                          </a:prstGeom>
                          <a:noFill/>
                          <a:ln>
                            <a:solidFill>
                              <a:schemeClr val="tx1"/>
                            </a:solidFill>
                          </a:ln>
                        </pic:spPr>
                      </pic:pic>
                    </a:graphicData>
                  </a:graphic>
                </wp:inline>
              </w:drawing>
            </w:r>
          </w:p>
          <w:p w14:paraId="028821C4">
            <w:pPr>
              <w:adjustRightInd w:val="0"/>
              <w:spacing w:line="24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szCs w:val="24"/>
                <w:highlight w:val="none"/>
              </w:rPr>
              <w:t>图1-</w:t>
            </w:r>
            <w:r>
              <w:rPr>
                <w:rFonts w:hint="default" w:ascii="Times New Roman" w:hAnsi="Times New Roman" w:eastAsia="宋体" w:cs="Times New Roman"/>
                <w:b/>
                <w:bCs/>
                <w:color w:val="auto"/>
                <w:sz w:val="24"/>
                <w:szCs w:val="24"/>
                <w:highlight w:val="none"/>
                <w:lang w:val="en-US" w:eastAsia="zh-CN"/>
              </w:rPr>
              <w:t xml:space="preserve">2  </w:t>
            </w:r>
            <w:r>
              <w:rPr>
                <w:rFonts w:hint="default" w:ascii="Times New Roman" w:hAnsi="Times New Roman" w:eastAsia="宋体" w:cs="Times New Roman"/>
                <w:b/>
                <w:bCs/>
                <w:color w:val="auto"/>
                <w:sz w:val="24"/>
                <w:szCs w:val="24"/>
                <w:highlight w:val="none"/>
              </w:rPr>
              <w:t>本工程在云南省生态功能区划中的位置示意图</w:t>
            </w:r>
          </w:p>
          <w:p w14:paraId="093D827B">
            <w:pPr>
              <w:keepNext w:val="0"/>
              <w:keepLines w:val="0"/>
              <w:pageBreakBefore w:val="0"/>
              <w:widowControl w:val="0"/>
              <w:kinsoku/>
              <w:wordWrap/>
              <w:overflowPunct/>
              <w:topLinePunct w:val="0"/>
              <w:autoSpaceDE w:val="0"/>
              <w:autoSpaceDN w:val="0"/>
              <w:bidi w:val="0"/>
              <w:adjustRightInd/>
              <w:snapToGrid/>
              <w:spacing w:line="348" w:lineRule="auto"/>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rPr>
              <w:t>、与《云南省生物多样性保护战略与行动计划（</w:t>
            </w:r>
            <w:r>
              <w:rPr>
                <w:rFonts w:hint="default" w:ascii="Times New Roman" w:hAnsi="Times New Roman" w:eastAsia="宋体" w:cs="Times New Roman"/>
                <w:b/>
                <w:bCs/>
                <w:color w:val="auto"/>
                <w:kern w:val="0"/>
                <w:sz w:val="24"/>
                <w:highlight w:val="none"/>
                <w:lang w:val="en-US" w:eastAsia="zh-CN"/>
              </w:rPr>
              <w:t>2024</w:t>
            </w:r>
            <w:r>
              <w:rPr>
                <w:rFonts w:hint="default" w:ascii="Times New Roman" w:hAnsi="Times New Roman" w:eastAsia="宋体" w:cs="Times New Roman"/>
                <w:b/>
                <w:bCs/>
                <w:color w:val="auto"/>
                <w:kern w:val="0"/>
                <w:sz w:val="24"/>
                <w:highlight w:val="none"/>
              </w:rPr>
              <w:t>-2030年）》符合性分析</w:t>
            </w:r>
          </w:p>
          <w:p w14:paraId="2173D513">
            <w:pPr>
              <w:keepNext w:val="0"/>
              <w:keepLines w:val="0"/>
              <w:pageBreakBefore w:val="0"/>
              <w:widowControl w:val="0"/>
              <w:kinsoku/>
              <w:wordWrap/>
              <w:overflowPunct/>
              <w:topLinePunct w:val="0"/>
              <w:autoSpaceDE w:val="0"/>
              <w:autoSpaceDN w:val="0"/>
              <w:bidi w:val="0"/>
              <w:adjustRightInd/>
              <w:snapToGrid/>
              <w:spacing w:line="348"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val="en-US" w:eastAsia="zh-CN"/>
              </w:rPr>
              <w:t>2024年5月20日，经</w:t>
            </w:r>
            <w:r>
              <w:rPr>
                <w:rFonts w:hint="default" w:ascii="Times New Roman" w:hAnsi="Times New Roman" w:eastAsia="宋体" w:cs="Times New Roman"/>
                <w:color w:val="auto"/>
                <w:kern w:val="0"/>
                <w:sz w:val="24"/>
                <w:highlight w:val="none"/>
              </w:rPr>
              <w:t>云南省人民政府同意，省生态环境厅、省发展改革委、省工业和信息化厅等11部门联合印发了《云南省生物多样性保护战略与行动计划（2024-2030年）》</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根据</w:t>
            </w:r>
            <w:r>
              <w:rPr>
                <w:rFonts w:hint="default" w:ascii="Times New Roman" w:hAnsi="Times New Roman" w:eastAsia="宋体" w:cs="Times New Roman"/>
                <w:color w:val="auto"/>
                <w:kern w:val="0"/>
                <w:sz w:val="24"/>
                <w:highlight w:val="none"/>
              </w:rPr>
              <w:t>《云南省生物多样性保护战略与行动计划（2024-2030年）》</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生物多样性</w:t>
            </w:r>
            <w:r>
              <w:rPr>
                <w:rFonts w:hint="default" w:ascii="Times New Roman" w:hAnsi="Times New Roman" w:eastAsia="宋体" w:cs="Times New Roman"/>
                <w:color w:val="auto"/>
                <w:kern w:val="0"/>
                <w:sz w:val="24"/>
                <w:highlight w:val="none"/>
                <w:lang w:val="en-US" w:eastAsia="zh-CN"/>
              </w:rPr>
              <w:t>保护分区与</w:t>
            </w:r>
            <w:r>
              <w:rPr>
                <w:rFonts w:hint="default" w:ascii="Times New Roman" w:hAnsi="Times New Roman" w:eastAsia="宋体" w:cs="Times New Roman"/>
                <w:color w:val="auto"/>
                <w:kern w:val="0"/>
                <w:sz w:val="24"/>
                <w:highlight w:val="none"/>
                <w:lang w:eastAsia="zh-CN"/>
              </w:rPr>
              <w:t>2012版《行动计划》</w:t>
            </w:r>
            <w:r>
              <w:rPr>
                <w:rFonts w:hint="default" w:ascii="Times New Roman" w:hAnsi="Times New Roman" w:eastAsia="宋体" w:cs="Times New Roman"/>
                <w:color w:val="auto"/>
                <w:kern w:val="0"/>
                <w:sz w:val="24"/>
                <w:highlight w:val="none"/>
                <w:lang w:val="en-US" w:eastAsia="zh-CN"/>
              </w:rPr>
              <w:t>一致，</w:t>
            </w:r>
            <w:r>
              <w:rPr>
                <w:rFonts w:hint="default" w:ascii="Times New Roman" w:hAnsi="Times New Roman" w:eastAsia="宋体" w:cs="Times New Roman"/>
                <w:color w:val="auto"/>
                <w:kern w:val="0"/>
                <w:sz w:val="24"/>
                <w:highlight w:val="none"/>
              </w:rPr>
              <w:t>全省生物多样性保护</w:t>
            </w:r>
            <w:r>
              <w:rPr>
                <w:rFonts w:hint="default" w:ascii="Times New Roman" w:hAnsi="Times New Roman" w:eastAsia="宋体" w:cs="Times New Roman"/>
                <w:color w:val="auto"/>
                <w:kern w:val="0"/>
                <w:sz w:val="24"/>
                <w:highlight w:val="none"/>
                <w:lang w:val="en-US" w:eastAsia="zh-CN"/>
              </w:rPr>
              <w:t>分为</w:t>
            </w:r>
            <w:r>
              <w:rPr>
                <w:rFonts w:hint="default" w:ascii="Times New Roman" w:hAnsi="Times New Roman" w:eastAsia="宋体" w:cs="Times New Roman"/>
                <w:color w:val="auto"/>
                <w:kern w:val="0"/>
                <w:sz w:val="24"/>
                <w:highlight w:val="none"/>
              </w:rPr>
              <w:t>6个一级优先区域和18个二级优先区域，涉及16个州、市101个县、市、区，总面积约9.5万m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，占云南国土面积的23.8%</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本次新印发</w:t>
            </w:r>
            <w:r>
              <w:rPr>
                <w:rFonts w:hint="default" w:ascii="Times New Roman" w:hAnsi="Times New Roman" w:eastAsia="宋体" w:cs="Times New Roman"/>
                <w:color w:val="auto"/>
                <w:kern w:val="0"/>
                <w:sz w:val="24"/>
                <w:highlight w:val="none"/>
              </w:rPr>
              <w:t>《云南省生物多样性保护战略与行动计划（2024-2030年）》</w:t>
            </w:r>
            <w:r>
              <w:rPr>
                <w:rFonts w:hint="default" w:ascii="Times New Roman" w:hAnsi="Times New Roman" w:eastAsia="宋体" w:cs="Times New Roman"/>
                <w:color w:val="auto"/>
                <w:kern w:val="0"/>
                <w:sz w:val="24"/>
                <w:highlight w:val="none"/>
                <w:lang w:val="en-US" w:eastAsia="zh-CN"/>
              </w:rPr>
              <w:t>共</w:t>
            </w:r>
            <w:r>
              <w:rPr>
                <w:rFonts w:hint="default" w:ascii="Times New Roman" w:hAnsi="Times New Roman" w:eastAsia="宋体" w:cs="Times New Roman"/>
                <w:color w:val="auto"/>
                <w:kern w:val="0"/>
                <w:sz w:val="24"/>
                <w:highlight w:val="none"/>
              </w:rPr>
              <w:t>提出了</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大保护优先领域和3</w:t>
            </w:r>
            <w:r>
              <w:rPr>
                <w:rFonts w:hint="default" w:ascii="Times New Roman" w:hAnsi="Times New Roman" w:eastAsia="宋体" w:cs="Times New Roman"/>
                <w:color w:val="auto"/>
                <w:kern w:val="0"/>
                <w:sz w:val="24"/>
                <w:highlight w:val="none"/>
                <w:lang w:val="en-US" w:eastAsia="zh-CN"/>
              </w:rPr>
              <w:t>0</w:t>
            </w:r>
            <w:r>
              <w:rPr>
                <w:rFonts w:hint="default" w:ascii="Times New Roman" w:hAnsi="Times New Roman" w:eastAsia="宋体" w:cs="Times New Roman"/>
                <w:color w:val="auto"/>
                <w:kern w:val="0"/>
                <w:sz w:val="24"/>
                <w:highlight w:val="none"/>
              </w:rPr>
              <w:t>项</w:t>
            </w:r>
            <w:r>
              <w:rPr>
                <w:rFonts w:hint="default" w:ascii="Times New Roman" w:hAnsi="Times New Roman" w:eastAsia="宋体" w:cs="Times New Roman"/>
                <w:color w:val="auto"/>
                <w:kern w:val="0"/>
                <w:sz w:val="24"/>
                <w:highlight w:val="none"/>
                <w:lang w:val="en-US" w:eastAsia="zh-CN"/>
              </w:rPr>
              <w:t>优先</w:t>
            </w:r>
            <w:r>
              <w:rPr>
                <w:rFonts w:hint="default" w:ascii="Times New Roman" w:hAnsi="Times New Roman" w:eastAsia="宋体" w:cs="Times New Roman"/>
                <w:color w:val="auto"/>
                <w:kern w:val="0"/>
                <w:sz w:val="24"/>
                <w:highlight w:val="none"/>
              </w:rPr>
              <w:t>行动。</w:t>
            </w:r>
            <w:r>
              <w:rPr>
                <w:rFonts w:hint="default" w:ascii="Times New Roman" w:hAnsi="Times New Roman" w:eastAsia="宋体" w:cs="Times New Roman"/>
                <w:color w:val="auto"/>
                <w:kern w:val="0"/>
                <w:sz w:val="24"/>
                <w:highlight w:val="none"/>
                <w:lang w:val="en-US" w:eastAsia="zh-CN"/>
              </w:rPr>
              <w:t>本次新印发</w:t>
            </w:r>
            <w:r>
              <w:rPr>
                <w:rFonts w:hint="default" w:ascii="Times New Roman" w:hAnsi="Times New Roman" w:eastAsia="宋体" w:cs="Times New Roman"/>
                <w:color w:val="auto"/>
                <w:kern w:val="0"/>
                <w:sz w:val="24"/>
                <w:highlight w:val="none"/>
                <w:lang w:eastAsia="zh-CN"/>
              </w:rPr>
              <w:t>20</w:t>
            </w:r>
            <w:r>
              <w:rPr>
                <w:rFonts w:hint="default" w:ascii="Times New Roman" w:hAnsi="Times New Roman" w:eastAsia="宋体" w:cs="Times New Roman"/>
                <w:color w:val="auto"/>
                <w:kern w:val="0"/>
                <w:sz w:val="24"/>
                <w:highlight w:val="none"/>
                <w:lang w:val="en-US" w:eastAsia="zh-CN"/>
              </w:rPr>
              <w:t>24</w:t>
            </w:r>
            <w:r>
              <w:rPr>
                <w:rFonts w:hint="default" w:ascii="Times New Roman" w:hAnsi="Times New Roman" w:eastAsia="宋体" w:cs="Times New Roman"/>
                <w:color w:val="auto"/>
                <w:kern w:val="0"/>
                <w:sz w:val="24"/>
                <w:highlight w:val="none"/>
                <w:lang w:eastAsia="zh-CN"/>
              </w:rPr>
              <w:t>版《行动计划》</w:t>
            </w:r>
            <w:r>
              <w:rPr>
                <w:rFonts w:hint="default" w:ascii="Times New Roman" w:hAnsi="Times New Roman" w:eastAsia="宋体" w:cs="Times New Roman"/>
                <w:color w:val="auto"/>
                <w:kern w:val="0"/>
                <w:sz w:val="24"/>
                <w:highlight w:val="none"/>
                <w:lang w:val="en-US" w:eastAsia="zh-CN"/>
              </w:rPr>
              <w:t>与</w:t>
            </w:r>
            <w:r>
              <w:rPr>
                <w:rFonts w:hint="default" w:ascii="Times New Roman" w:hAnsi="Times New Roman" w:eastAsia="宋体" w:cs="Times New Roman"/>
                <w:color w:val="auto"/>
                <w:kern w:val="0"/>
                <w:sz w:val="24"/>
                <w:highlight w:val="none"/>
                <w:lang w:eastAsia="zh-CN"/>
              </w:rPr>
              <w:t>2012版《行动计划》的区别</w:t>
            </w:r>
            <w:r>
              <w:rPr>
                <w:rFonts w:hint="default" w:ascii="Times New Roman" w:hAnsi="Times New Roman" w:eastAsia="宋体" w:cs="Times New Roman"/>
                <w:color w:val="auto"/>
                <w:kern w:val="0"/>
                <w:sz w:val="24"/>
                <w:highlight w:val="none"/>
                <w:lang w:val="en-US" w:eastAsia="zh-CN"/>
              </w:rPr>
              <w:t>主要包括</w:t>
            </w:r>
            <w:r>
              <w:rPr>
                <w:rFonts w:hint="default" w:ascii="Times New Roman" w:hAnsi="Times New Roman" w:eastAsia="宋体" w:cs="Times New Roman"/>
                <w:color w:val="auto"/>
                <w:kern w:val="0"/>
                <w:sz w:val="24"/>
                <w:highlight w:val="none"/>
                <w:lang w:eastAsia="zh-CN"/>
              </w:rPr>
              <w:t>以下方面：</w:t>
            </w:r>
          </w:p>
          <w:p w14:paraId="533A5DBE">
            <w:pPr>
              <w:keepNext w:val="0"/>
              <w:keepLines w:val="0"/>
              <w:pageBreakBefore w:val="0"/>
              <w:widowControl w:val="0"/>
              <w:kinsoku/>
              <w:wordWrap/>
              <w:overflowPunct/>
              <w:topLinePunct w:val="0"/>
              <w:autoSpaceDE w:val="0"/>
              <w:autoSpaceDN w:val="0"/>
              <w:bidi w:val="0"/>
              <w:adjustRightInd/>
              <w:snapToGrid/>
              <w:spacing w:line="348"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一是落实新理念，把“人与自然和谐共生”“绿水青山就是金山银山”等重要理念，深度融入2024版《行动计划》，强化“协同”理念。</w:t>
            </w:r>
          </w:p>
          <w:p w14:paraId="1D52A12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二是对标新要求，在生物多样性主流化领域，突出企业与公众的参与，提出建立生物多样性体验地体系等；在保护地体系建设领域，突出国家公园群、国家植物园创建，提出探索其他基于区域的有效保护措施等；在应对生物多样性威胁领域，突出可持续管理生物生态资源，提出生物资源流失管控和降低环境污染影响等；在生物多样性可持续利用领域，突出生物生态资源开发利用，提出生态产品价值实现和城市生物多样性保护等；在生物多样性治理能力保障领域，突出智慧化治理，提出构建智慧监测体系、建设智慧治理平台等。</w:t>
            </w:r>
          </w:p>
          <w:p w14:paraId="24128C6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highlight w:val="none"/>
                <w:lang w:eastAsia="zh-CN"/>
              </w:rPr>
              <w:t>三是目标更清晰，提出三个战略定位，</w:t>
            </w:r>
            <w:r>
              <w:rPr>
                <w:rFonts w:hint="default" w:ascii="Times New Roman" w:hAnsi="Times New Roman" w:eastAsia="宋体" w:cs="Times New Roman"/>
                <w:color w:val="auto"/>
                <w:kern w:val="0"/>
                <w:sz w:val="24"/>
                <w:highlight w:val="none"/>
                <w:lang w:val="en-US" w:eastAsia="zh-CN"/>
              </w:rPr>
              <w:t>并</w:t>
            </w:r>
            <w:r>
              <w:rPr>
                <w:rFonts w:hint="default" w:ascii="Times New Roman" w:hAnsi="Times New Roman" w:eastAsia="宋体" w:cs="Times New Roman"/>
                <w:color w:val="auto"/>
                <w:kern w:val="0"/>
                <w:sz w:val="24"/>
                <w:highlight w:val="none"/>
                <w:lang w:eastAsia="zh-CN"/>
              </w:rPr>
              <w:t>在战略目标方面设立了多个定量指标，定量目标数</w:t>
            </w:r>
            <w:r>
              <w:rPr>
                <w:rFonts w:hint="default" w:ascii="Times New Roman" w:hAnsi="Times New Roman" w:eastAsia="宋体" w:cs="Times New Roman"/>
                <w:color w:val="auto"/>
                <w:kern w:val="0"/>
                <w:sz w:val="24"/>
                <w:szCs w:val="24"/>
                <w:highlight w:val="none"/>
                <w:lang w:eastAsia="zh-CN"/>
              </w:rPr>
              <w:t>量明显增加。设立了多个定量指标，定量目标数量明显增加。</w:t>
            </w:r>
          </w:p>
          <w:p w14:paraId="3417F04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四是措施更聚焦。2024版《行动计划》设立的任务和措施更加聚焦，更加体系化。2024版《行动计划》主要任务围绕现代化生物多样性治理、生物多样性保护、生物多样性威胁应对、生物资源可持续利用和生物多样性治理能力保障等5大体系设置，战略任务、优先领域优先行动数量较2012版的均有所减少，更符合新时期云南生物多样性保护的现实需求</w:t>
            </w:r>
            <w:r>
              <w:rPr>
                <w:rFonts w:hint="default" w:ascii="Times New Roman" w:hAnsi="Times New Roman" w:eastAsia="宋体" w:cs="Times New Roman"/>
                <w:color w:val="auto"/>
                <w:kern w:val="0"/>
                <w:sz w:val="24"/>
                <w:szCs w:val="24"/>
                <w:highlight w:val="none"/>
              </w:rPr>
              <w:t>。</w:t>
            </w:r>
          </w:p>
          <w:p w14:paraId="045F609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根据《云南省生物多样性保护战略与行动计划（2012-2030年）》及叠图分析（详见附图11）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本项目不涉及</w:t>
            </w:r>
            <w:r>
              <w:rPr>
                <w:rFonts w:hint="default" w:ascii="Times New Roman" w:hAnsi="Times New Roman" w:eastAsia="宋体" w:cs="Times New Roman"/>
                <w:color w:val="auto"/>
                <w:kern w:val="0"/>
                <w:sz w:val="24"/>
                <w:szCs w:val="24"/>
                <w:highlight w:val="none"/>
                <w:lang w:val="en-US" w:eastAsia="zh-CN"/>
              </w:rPr>
              <w:t>云南省</w:t>
            </w:r>
            <w:r>
              <w:rPr>
                <w:rFonts w:hint="default" w:ascii="Times New Roman" w:hAnsi="Times New Roman" w:eastAsia="宋体" w:cs="Times New Roman"/>
                <w:color w:val="auto"/>
                <w:kern w:val="0"/>
                <w:sz w:val="24"/>
                <w:szCs w:val="24"/>
                <w:highlight w:val="none"/>
              </w:rPr>
              <w:t>生物多样性保护优先区域，</w:t>
            </w:r>
            <w:r>
              <w:rPr>
                <w:rFonts w:hint="default" w:ascii="Times New Roman" w:hAnsi="Times New Roman" w:eastAsia="宋体" w:cs="Times New Roman"/>
                <w:color w:val="auto"/>
                <w:kern w:val="0"/>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项目施工期已结束，施工期影响已随着施工期的结束而消失，不存在环境遗留问题，项目运营期对生态环境影响较小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本工程</w:t>
            </w:r>
            <w:r>
              <w:rPr>
                <w:rFonts w:hint="default" w:ascii="Times New Roman" w:hAnsi="Times New Roman" w:eastAsia="宋体" w:cs="Times New Roman"/>
                <w:color w:val="auto"/>
                <w:kern w:val="0"/>
                <w:sz w:val="24"/>
                <w:szCs w:val="24"/>
                <w:highlight w:val="none"/>
              </w:rPr>
              <w:t>与《云南省生物多样性保护战略与行动计划（20</w:t>
            </w:r>
            <w:r>
              <w:rPr>
                <w:rFonts w:hint="default" w:ascii="Times New Roman" w:hAnsi="Times New Roman" w:eastAsia="宋体"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rPr>
              <w:t>-2030年）》不冲突</w:t>
            </w:r>
            <w:r>
              <w:rPr>
                <w:rFonts w:hint="default" w:ascii="Times New Roman" w:hAnsi="Times New Roman" w:eastAsia="宋体" w:cs="Times New Roman"/>
                <w:color w:val="auto"/>
                <w:sz w:val="24"/>
                <w:szCs w:val="24"/>
                <w:highlight w:val="none"/>
                <w:lang w:eastAsia="zh-CN"/>
              </w:rPr>
              <w:t>。</w:t>
            </w:r>
          </w:p>
          <w:p w14:paraId="6BEF07E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与《云南省生物多样性保护</w:t>
            </w:r>
            <w:r>
              <w:rPr>
                <w:rFonts w:hint="default" w:ascii="Times New Roman" w:hAnsi="Times New Roman" w:eastAsia="宋体" w:cs="Times New Roman"/>
                <w:b/>
                <w:bCs/>
                <w:color w:val="auto"/>
                <w:sz w:val="24"/>
                <w:highlight w:val="none"/>
                <w:lang w:eastAsia="zh-CN"/>
              </w:rPr>
              <w:t>条例</w:t>
            </w:r>
            <w:r>
              <w:rPr>
                <w:rFonts w:hint="default" w:ascii="Times New Roman" w:hAnsi="Times New Roman" w:eastAsia="宋体" w:cs="Times New Roman"/>
                <w:b/>
                <w:bCs/>
                <w:color w:val="auto"/>
                <w:sz w:val="24"/>
                <w:highlight w:val="none"/>
              </w:rPr>
              <w:t>》的符合性分析</w:t>
            </w:r>
          </w:p>
          <w:p w14:paraId="146FBCEE">
            <w:pPr>
              <w:keepNext w:val="0"/>
              <w:keepLines w:val="0"/>
              <w:pageBreakBefore w:val="0"/>
              <w:widowControl w:val="0"/>
              <w:suppressLineNumbers w:val="0"/>
              <w:kinsoku/>
              <w:wordWrap/>
              <w:overflowPunct/>
              <w:topLinePunct w:val="0"/>
              <w:bidi w:val="0"/>
              <w:snapToGrid/>
              <w:spacing w:beforeAutospacing="0" w:after="0" w:afterAutospacing="0" w:line="360" w:lineRule="auto"/>
              <w:ind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根据《云南省生物多样性保护条例》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本环评主要针对该条例中针对建设项目提出的生态系统多样性保护要求进行对照分析，即条例</w:t>
            </w:r>
            <w:r>
              <w:rPr>
                <w:rFonts w:hint="default" w:ascii="Times New Roman" w:hAnsi="Times New Roman" w:eastAsia="宋体" w:cs="Times New Roman"/>
                <w:color w:val="auto"/>
                <w:sz w:val="24"/>
                <w:highlight w:val="none"/>
              </w:rPr>
              <w:t>第二十九条“在生物多样性保护优先区域的建设项目以及自然资源开发，应当评价对生物多样性的影响并作为环境影响评价的重要组成部分。”</w:t>
            </w:r>
          </w:p>
          <w:p w14:paraId="4EC730F3">
            <w:pPr>
              <w:keepNext w:val="0"/>
              <w:keepLines w:val="0"/>
              <w:pageBreakBefore w:val="0"/>
              <w:widowControl w:val="0"/>
              <w:suppressLineNumbers w:val="0"/>
              <w:kinsoku/>
              <w:wordWrap/>
              <w:overflowPunct/>
              <w:topLinePunct w:val="0"/>
              <w:bidi w:val="0"/>
              <w:snapToGrid/>
              <w:spacing w:beforeAutospacing="0" w:after="0" w:afterAutospacing="0" w:line="360" w:lineRule="auto"/>
              <w:ind w:right="0" w:firstLine="480"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szCs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根据《云南省生物多样性保护战略与行动计划（2012-2030年）》及叠图分析（详见附图11）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本项目不涉及</w:t>
            </w:r>
            <w:r>
              <w:rPr>
                <w:rFonts w:hint="default" w:ascii="Times New Roman" w:hAnsi="Times New Roman" w:eastAsia="宋体" w:cs="Times New Roman"/>
                <w:color w:val="auto"/>
                <w:kern w:val="0"/>
                <w:sz w:val="24"/>
                <w:szCs w:val="24"/>
                <w:highlight w:val="none"/>
                <w:lang w:val="en-US" w:eastAsia="zh-CN"/>
              </w:rPr>
              <w:t>云南省</w:t>
            </w:r>
            <w:r>
              <w:rPr>
                <w:rFonts w:hint="default" w:ascii="Times New Roman" w:hAnsi="Times New Roman" w:eastAsia="宋体" w:cs="Times New Roman"/>
                <w:color w:val="auto"/>
                <w:kern w:val="0"/>
                <w:sz w:val="24"/>
                <w:szCs w:val="24"/>
                <w:highlight w:val="none"/>
              </w:rPr>
              <w:t>生物多样性保护优先区域，</w:t>
            </w:r>
            <w:r>
              <w:rPr>
                <w:rFonts w:hint="default" w:ascii="Times New Roman" w:hAnsi="Times New Roman" w:eastAsia="宋体" w:cs="Times New Roman"/>
                <w:color w:val="auto"/>
                <w:kern w:val="0"/>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项目施工期已结束，施工期影响已随着施工期的结束而消失，不存在环境遗留问题，项目运营期对生态环境影响较小，对生物多样性的影响较小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本工程建设符合《云南省生物多样性保护条例》的要求。</w:t>
            </w:r>
          </w:p>
          <w:p w14:paraId="5D669115">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与《昆明市“十四五”生态环境保护规划》相符性分析</w:t>
            </w:r>
          </w:p>
          <w:p w14:paraId="12CD6154">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昆明市“十四五”生态环境保护规划》从“生态安全格局、环境质量改善、污染物总量减排、环境治理能力和绿色低碳”5个方面确定昆明市“十四五”生态环境保护规划的21个分项指标。包括“十四五”期间，确保国控断面水质优良率不低于81.5%，滇池草海水质稳定达到Ⅳ类、外海水质达到Ⅳ类（COD≤40mg/L），阳宗海水质稳定达到Ⅲ类水标准，县级及以上集中式饮用水水源水质达标率100%，主城区空气质量优良率保持在99.1%以上，受污染耕地安全利用率达到90%以上，全市森林覆盖率达到53%。到2025年，实现全市产业低碳绿色发展水平明显改善，自然生态安全格局和山水相融的城乡生态体系不断完善，生态系统质量和稳定性不断提升。 </w:t>
            </w:r>
          </w:p>
          <w:p w14:paraId="402999D6">
            <w:pPr>
              <w:pStyle w:val="3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220kV升压站建设项目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项目占地仅为升压站建设占地，</w:t>
            </w:r>
            <w:r>
              <w:rPr>
                <w:rFonts w:hint="default" w:ascii="Times New Roman" w:hAnsi="Times New Roman" w:eastAsia="宋体" w:cs="Times New Roman"/>
                <w:color w:val="auto"/>
                <w:sz w:val="24"/>
                <w:szCs w:val="24"/>
                <w:highlight w:val="none"/>
              </w:rPr>
              <w:t>占地面积较小，</w:t>
            </w:r>
            <w:r>
              <w:rPr>
                <w:rFonts w:hint="default" w:ascii="Times New Roman" w:hAnsi="Times New Roman" w:eastAsia="宋体" w:cs="Times New Roman"/>
                <w:color w:val="auto"/>
                <w:sz w:val="24"/>
                <w:szCs w:val="24"/>
                <w:highlight w:val="none"/>
                <w:lang w:val="en-US" w:eastAsia="zh-CN"/>
              </w:rPr>
              <w:t>现项目施工期已结束，施工期影响已随着施工期的结束而消失，不存在环境遗留问题。升压站</w:t>
            </w:r>
            <w:r>
              <w:rPr>
                <w:rFonts w:hint="default" w:ascii="Times New Roman" w:hAnsi="Times New Roman" w:eastAsia="宋体" w:cs="Times New Roman"/>
                <w:color w:val="auto"/>
                <w:sz w:val="24"/>
                <w:szCs w:val="24"/>
                <w:highlight w:val="none"/>
              </w:rPr>
              <w:t>运行期</w:t>
            </w:r>
            <w:r>
              <w:rPr>
                <w:rFonts w:hint="default" w:ascii="Times New Roman" w:hAnsi="Times New Roman" w:eastAsia="宋体" w:cs="Times New Roman"/>
                <w:color w:val="auto"/>
                <w:sz w:val="24"/>
                <w:szCs w:val="24"/>
                <w:highlight w:val="none"/>
                <w:lang w:val="en-US" w:eastAsia="zh-CN"/>
              </w:rPr>
              <w:t>废气主要为食堂油烟，经油烟净化器处理后引至楼顶排放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运营期废水仅为职工生活污水经化粪池、一体化污水处理站处理达标后回用于绿化用水；固废处置率100%；工频磁场及工频电场达标排放。项目运营期对环境影响较小；</w:t>
            </w:r>
            <w:r>
              <w:rPr>
                <w:rFonts w:hint="default" w:ascii="Times New Roman" w:hAnsi="Times New Roman" w:eastAsia="宋体" w:cs="Times New Roman"/>
                <w:color w:val="auto"/>
                <w:sz w:val="24"/>
                <w:szCs w:val="24"/>
                <w:highlight w:val="none"/>
              </w:rPr>
              <w:t>并且本工程为涉及民生的基础建设项目，工程的建设符合“三线一单”的管控要求，</w:t>
            </w:r>
            <w:r>
              <w:rPr>
                <w:rFonts w:hint="default" w:ascii="Times New Roman" w:hAnsi="Times New Roman" w:eastAsia="宋体" w:cs="Times New Roman"/>
                <w:color w:val="auto"/>
                <w:sz w:val="24"/>
                <w:szCs w:val="24"/>
                <w:highlight w:val="none"/>
                <w:lang w:val="en-US" w:eastAsia="zh-CN"/>
              </w:rPr>
              <w:t>整体而言</w:t>
            </w:r>
            <w:r>
              <w:rPr>
                <w:rFonts w:hint="default" w:ascii="Times New Roman" w:hAnsi="Times New Roman" w:eastAsia="宋体" w:cs="Times New Roman"/>
                <w:color w:val="auto"/>
                <w:sz w:val="24"/>
                <w:szCs w:val="24"/>
                <w:highlight w:val="none"/>
              </w:rPr>
              <w:t>，本工程的建设与《昆明市“十四五”生态环境保护规划》相符。</w:t>
            </w:r>
          </w:p>
          <w:p w14:paraId="303B70F4">
            <w:pPr>
              <w:pStyle w:val="31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lang w:val="en-US" w:eastAsia="zh-CN"/>
              </w:rPr>
              <w:t>9、与</w:t>
            </w:r>
            <w:r>
              <w:rPr>
                <w:rFonts w:hint="default" w:ascii="Times New Roman" w:hAnsi="Times New Roman" w:eastAsia="宋体" w:cs="Times New Roman"/>
                <w:b/>
                <w:bCs/>
                <w:color w:val="auto"/>
                <w:szCs w:val="24"/>
                <w:highlight w:val="none"/>
              </w:rPr>
              <w:t>《长江经济带发展负面清单指南 (试行，2022年版)》</w:t>
            </w:r>
            <w:r>
              <w:rPr>
                <w:rFonts w:hint="default" w:ascii="Times New Roman" w:hAnsi="Times New Roman" w:eastAsia="宋体" w:cs="Times New Roman"/>
                <w:b/>
                <w:bCs/>
                <w:color w:val="auto"/>
                <w:szCs w:val="24"/>
                <w:highlight w:val="none"/>
                <w:lang w:val="en-US" w:eastAsia="zh-CN"/>
              </w:rPr>
              <w:t>符合性分析</w:t>
            </w:r>
          </w:p>
          <w:p w14:paraId="602AD4D9">
            <w:pPr>
              <w:pStyle w:val="3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根据对照《长江经济带发展负面清单指南 (试行，2022年版)》，本项目与其符合性分析详见下表：</w:t>
            </w:r>
          </w:p>
          <w:p w14:paraId="13817365">
            <w:pPr>
              <w:pStyle w:val="316"/>
              <w:keepNext w:val="0"/>
              <w:keepLines w:val="0"/>
              <w:pageBreakBefore w:val="0"/>
              <w:widowControl w:val="0"/>
              <w:kinsoku/>
              <w:wordWrap/>
              <w:overflowPunct/>
              <w:topLinePunct w:val="0"/>
              <w:autoSpaceDE/>
              <w:autoSpaceDN/>
              <w:bidi w:val="0"/>
              <w:adjustRightInd/>
              <w:snapToGrid/>
              <w:spacing w:line="336" w:lineRule="auto"/>
              <w:ind w:firstLine="480"/>
              <w:jc w:val="center"/>
              <w:textAlignment w:val="auto"/>
              <w:rPr>
                <w:rFonts w:hint="default" w:ascii="Times New Roman" w:hAnsi="Times New Roman" w:eastAsia="宋体" w:cs="Times New Roman"/>
                <w:b/>
                <w:bCs/>
                <w:caps w:val="0"/>
                <w:color w:val="auto"/>
                <w:sz w:val="24"/>
                <w:szCs w:val="24"/>
                <w:highlight w:val="none"/>
                <w:lang w:val="en-US" w:eastAsia="zh-CN"/>
              </w:rPr>
            </w:pPr>
          </w:p>
          <w:p w14:paraId="43C1660E">
            <w:pPr>
              <w:pStyle w:val="316"/>
              <w:keepNext w:val="0"/>
              <w:keepLines w:val="0"/>
              <w:pageBreakBefore w:val="0"/>
              <w:widowControl w:val="0"/>
              <w:kinsoku/>
              <w:wordWrap/>
              <w:overflowPunct/>
              <w:topLinePunct w:val="0"/>
              <w:autoSpaceDE/>
              <w:autoSpaceDN/>
              <w:bidi w:val="0"/>
              <w:adjustRightInd/>
              <w:snapToGrid/>
              <w:spacing w:line="336" w:lineRule="auto"/>
              <w:ind w:firstLine="480"/>
              <w:jc w:val="center"/>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表1-7  项目与长江经济带发展负面清单符合性分析</w:t>
            </w:r>
          </w:p>
          <w:tbl>
            <w:tblPr>
              <w:tblStyle w:val="50"/>
              <w:tblW w:w="7738" w:type="dxa"/>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200"/>
              <w:gridCol w:w="2353"/>
              <w:gridCol w:w="724"/>
            </w:tblGrid>
            <w:tr w14:paraId="3637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61" w:type="dxa"/>
                  <w:vAlign w:val="center"/>
                </w:tcPr>
                <w:p w14:paraId="15B222FA">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序号</w:t>
                  </w:r>
                </w:p>
              </w:tc>
              <w:tc>
                <w:tcPr>
                  <w:tcW w:w="4200" w:type="dxa"/>
                  <w:vAlign w:val="center"/>
                </w:tcPr>
                <w:p w14:paraId="2EF82582">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要求</w:t>
                  </w:r>
                </w:p>
              </w:tc>
              <w:tc>
                <w:tcPr>
                  <w:tcW w:w="2353" w:type="dxa"/>
                  <w:vAlign w:val="center"/>
                </w:tcPr>
                <w:p w14:paraId="602AFE52">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项目情况</w:t>
                  </w:r>
                </w:p>
              </w:tc>
              <w:tc>
                <w:tcPr>
                  <w:tcW w:w="724" w:type="dxa"/>
                  <w:vAlign w:val="center"/>
                </w:tcPr>
                <w:p w14:paraId="0E74AF48">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iCs/>
                      <w:caps w:val="0"/>
                      <w:color w:val="auto"/>
                      <w:spacing w:val="0"/>
                      <w:sz w:val="21"/>
                      <w:szCs w:val="21"/>
                      <w:highlight w:val="none"/>
                      <w:vertAlign w:val="baseline"/>
                      <w:lang w:val="en-US" w:eastAsia="zh-CN"/>
                    </w:rPr>
                    <w:t>符合性</w:t>
                  </w:r>
                </w:p>
              </w:tc>
            </w:tr>
            <w:tr w14:paraId="342F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461" w:type="dxa"/>
                  <w:vAlign w:val="center"/>
                </w:tcPr>
                <w:p w14:paraId="5E41F2EE">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1</w:t>
                  </w:r>
                </w:p>
              </w:tc>
              <w:tc>
                <w:tcPr>
                  <w:tcW w:w="4200" w:type="dxa"/>
                  <w:vAlign w:val="center"/>
                </w:tcPr>
                <w:p w14:paraId="087FC347">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禁止建设不符合全国和省级港口布局规划以及港口总体规划的码头项目，禁止建设不符合《长江于线过江通道布局规划》的过长江通道项目。</w:t>
                  </w:r>
                </w:p>
              </w:tc>
              <w:tc>
                <w:tcPr>
                  <w:tcW w:w="2353" w:type="dxa"/>
                  <w:vAlign w:val="center"/>
                </w:tcPr>
                <w:p w14:paraId="2F7F6E73">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color w:val="auto"/>
                      <w:sz w:val="21"/>
                      <w:szCs w:val="21"/>
                      <w:highlight w:val="none"/>
                      <w:lang w:eastAsia="zh-CN"/>
                    </w:rPr>
                    <w:t>不属于</w:t>
                  </w:r>
                  <w:r>
                    <w:rPr>
                      <w:rFonts w:hint="default" w:ascii="Times New Roman" w:hAnsi="Times New Roman" w:eastAsia="宋体" w:cs="Times New Roman"/>
                      <w:b w:val="0"/>
                      <w:bCs w:val="0"/>
                      <w:iCs/>
                      <w:caps w:val="0"/>
                      <w:color w:val="auto"/>
                      <w:spacing w:val="-11"/>
                      <w:sz w:val="21"/>
                      <w:szCs w:val="21"/>
                      <w:highlight w:val="none"/>
                      <w:lang w:val="en-US" w:eastAsia="zh-CN"/>
                    </w:rPr>
                    <w:t>该类禁止建设项目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w:t>
                  </w:r>
                </w:p>
              </w:tc>
              <w:tc>
                <w:tcPr>
                  <w:tcW w:w="724" w:type="dxa"/>
                  <w:vAlign w:val="center"/>
                </w:tcPr>
                <w:p w14:paraId="5C3A9642">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0A2D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461" w:type="dxa"/>
                  <w:vAlign w:val="center"/>
                </w:tcPr>
                <w:p w14:paraId="4BE7B9EC">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2</w:t>
                  </w:r>
                </w:p>
              </w:tc>
              <w:tc>
                <w:tcPr>
                  <w:tcW w:w="4200" w:type="dxa"/>
                  <w:vAlign w:val="center"/>
                </w:tcPr>
                <w:p w14:paraId="068F76A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2353" w:type="dxa"/>
                  <w:vAlign w:val="center"/>
                </w:tcPr>
                <w:p w14:paraId="726EF9D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项目位于昆明市禄劝县团街镇境内，不涉及自然保护区、风景名胜区、饮用水源地保护区等环境敏感区。</w:t>
                  </w:r>
                </w:p>
              </w:tc>
              <w:tc>
                <w:tcPr>
                  <w:tcW w:w="724" w:type="dxa"/>
                  <w:vAlign w:val="center"/>
                </w:tcPr>
                <w:p w14:paraId="1AA1BC47">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180E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61" w:type="dxa"/>
                  <w:vAlign w:val="center"/>
                </w:tcPr>
                <w:p w14:paraId="3FC871A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3</w:t>
                  </w:r>
                </w:p>
              </w:tc>
              <w:tc>
                <w:tcPr>
                  <w:tcW w:w="4200" w:type="dxa"/>
                  <w:vAlign w:val="center"/>
                </w:tcPr>
                <w:p w14:paraId="74001D92">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53" w:type="dxa"/>
                  <w:vAlign w:val="center"/>
                </w:tcPr>
                <w:p w14:paraId="1EE77D2B">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位于=昆明市禄劝彝族苗族自治县境内，项目不涉及饮用水水源保护区，亦不属于该类禁止建设类项目。</w:t>
                  </w:r>
                </w:p>
              </w:tc>
              <w:tc>
                <w:tcPr>
                  <w:tcW w:w="724" w:type="dxa"/>
                  <w:vAlign w:val="center"/>
                </w:tcPr>
                <w:p w14:paraId="178F7603">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5288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461" w:type="dxa"/>
                  <w:vAlign w:val="center"/>
                </w:tcPr>
                <w:p w14:paraId="53928CD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4</w:t>
                  </w:r>
                </w:p>
              </w:tc>
              <w:tc>
                <w:tcPr>
                  <w:tcW w:w="4200" w:type="dxa"/>
                  <w:vAlign w:val="center"/>
                </w:tcPr>
                <w:p w14:paraId="6AB05991">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53" w:type="dxa"/>
                  <w:vAlign w:val="center"/>
                </w:tcPr>
                <w:p w14:paraId="6CD3B63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位于昆明市禄劝彝族苗族自治县境内，不涉及</w:t>
                  </w:r>
                  <w:r>
                    <w:rPr>
                      <w:rFonts w:hint="default" w:ascii="Times New Roman" w:hAnsi="Times New Roman" w:eastAsia="宋体" w:cs="Times New Roman"/>
                      <w:color w:val="auto"/>
                      <w:sz w:val="21"/>
                      <w:szCs w:val="21"/>
                      <w:highlight w:val="none"/>
                    </w:rPr>
                    <w:t>水产种质资源保护区</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国家湿地公园</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，亦不属于该类禁止类项目。</w:t>
                  </w:r>
                </w:p>
              </w:tc>
              <w:tc>
                <w:tcPr>
                  <w:tcW w:w="724" w:type="dxa"/>
                  <w:vAlign w:val="center"/>
                </w:tcPr>
                <w:p w14:paraId="1BB7F92E">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36A4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trPr>
              <w:tc>
                <w:tcPr>
                  <w:tcW w:w="461" w:type="dxa"/>
                  <w:vAlign w:val="center"/>
                </w:tcPr>
                <w:p w14:paraId="67EA7E82">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5</w:t>
                  </w:r>
                </w:p>
              </w:tc>
              <w:tc>
                <w:tcPr>
                  <w:tcW w:w="4200" w:type="dxa"/>
                  <w:vAlign w:val="center"/>
                </w:tcPr>
                <w:p w14:paraId="153D82B1">
                  <w:pPr>
                    <w:pStyle w:val="316"/>
                    <w:keepNext w:val="0"/>
                    <w:keepLines w:val="0"/>
                    <w:pageBreakBefore w:val="0"/>
                    <w:widowControl w:val="0"/>
                    <w:kinsoku/>
                    <w:wordWrap/>
                    <w:overflowPunct/>
                    <w:topLinePunct w:val="0"/>
                    <w:autoSpaceDE/>
                    <w:autoSpaceDN/>
                    <w:bidi w:val="0"/>
                    <w:adjustRightInd/>
                    <w:snapToGrid/>
                    <w:spacing w:line="276" w:lineRule="auto"/>
                    <w:ind w:left="-63" w:leftChars="-30" w:right="-63" w:rightChars="-3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53" w:type="dxa"/>
                  <w:vAlign w:val="center"/>
                </w:tcPr>
                <w:p w14:paraId="620EBFDF">
                  <w:pPr>
                    <w:pStyle w:val="316"/>
                    <w:keepNext w:val="0"/>
                    <w:keepLines w:val="0"/>
                    <w:pageBreakBefore w:val="0"/>
                    <w:widowControl w:val="0"/>
                    <w:kinsoku/>
                    <w:wordWrap/>
                    <w:overflowPunct/>
                    <w:topLinePunct w:val="0"/>
                    <w:autoSpaceDE/>
                    <w:autoSpaceDN/>
                    <w:bidi w:val="0"/>
                    <w:adjustRightInd/>
                    <w:snapToGrid/>
                    <w:spacing w:line="276" w:lineRule="auto"/>
                    <w:ind w:left="-63" w:leftChars="-30" w:right="-63" w:rightChars="-3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位于昆明市禄劝县团街镇境内，项目不涉及占用长江流域河湖岸线保护区和保留区内，亦不属于该类禁止建设类项目。</w:t>
                  </w:r>
                </w:p>
              </w:tc>
              <w:tc>
                <w:tcPr>
                  <w:tcW w:w="724" w:type="dxa"/>
                  <w:vAlign w:val="center"/>
                </w:tcPr>
                <w:p w14:paraId="5072AD89">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4488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461" w:type="dxa"/>
                  <w:vAlign w:val="center"/>
                </w:tcPr>
                <w:p w14:paraId="472071F7">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6</w:t>
                  </w:r>
                </w:p>
              </w:tc>
              <w:tc>
                <w:tcPr>
                  <w:tcW w:w="4200" w:type="dxa"/>
                  <w:vAlign w:val="center"/>
                </w:tcPr>
                <w:p w14:paraId="3435DFE3">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禁止未经许可在长江于支流及湖泊新设、改设或扩大排污口。</w:t>
                  </w:r>
                </w:p>
              </w:tc>
              <w:tc>
                <w:tcPr>
                  <w:tcW w:w="2353" w:type="dxa"/>
                  <w:vMerge w:val="restart"/>
                  <w:vAlign w:val="center"/>
                </w:tcPr>
                <w:p w14:paraId="0D17DF0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位于昆明市禄劝彝族苗族自治县，项目选址不涉及</w:t>
                  </w:r>
                  <w:r>
                    <w:rPr>
                      <w:rFonts w:hint="default" w:ascii="Times New Roman" w:hAnsi="Times New Roman" w:eastAsia="宋体" w:cs="Times New Roman"/>
                      <w:caps w:val="0"/>
                      <w:color w:val="auto"/>
                      <w:spacing w:val="0"/>
                      <w:sz w:val="21"/>
                      <w:szCs w:val="21"/>
                      <w:highlight w:val="none"/>
                      <w:vertAlign w:val="baseline"/>
                      <w:lang w:val="en-US" w:eastAsia="zh-CN"/>
                    </w:rPr>
                    <w:t>“一江一口两湖七河”和332个水生生物保护区，</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且项目不设置废水排口。</w:t>
                  </w:r>
                </w:p>
              </w:tc>
              <w:tc>
                <w:tcPr>
                  <w:tcW w:w="724" w:type="dxa"/>
                  <w:vAlign w:val="center"/>
                </w:tcPr>
                <w:p w14:paraId="5B3C6B42">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55C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461" w:type="dxa"/>
                  <w:vAlign w:val="center"/>
                </w:tcPr>
                <w:p w14:paraId="6F6431B9">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7</w:t>
                  </w:r>
                </w:p>
              </w:tc>
              <w:tc>
                <w:tcPr>
                  <w:tcW w:w="4200" w:type="dxa"/>
                  <w:vAlign w:val="center"/>
                </w:tcPr>
                <w:p w14:paraId="78DA745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禁止在“一江一口两湖七河”和332个水生生物保护区开展生产性捕捞。</w:t>
                  </w:r>
                </w:p>
              </w:tc>
              <w:tc>
                <w:tcPr>
                  <w:tcW w:w="2353" w:type="dxa"/>
                  <w:vMerge w:val="continue"/>
                  <w:vAlign w:val="center"/>
                </w:tcPr>
                <w:p w14:paraId="002BDA7E">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p>
              </w:tc>
              <w:tc>
                <w:tcPr>
                  <w:tcW w:w="724" w:type="dxa"/>
                  <w:vAlign w:val="center"/>
                </w:tcPr>
                <w:p w14:paraId="070A5BB5">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4E1F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tcPr>
                  <w:tcW w:w="461" w:type="dxa"/>
                  <w:vAlign w:val="center"/>
                </w:tcPr>
                <w:p w14:paraId="5F35EA32">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8</w:t>
                  </w:r>
                </w:p>
              </w:tc>
              <w:tc>
                <w:tcPr>
                  <w:tcW w:w="4200" w:type="dxa"/>
                  <w:vAlign w:val="center"/>
                </w:tcPr>
                <w:p w14:paraId="5E13506C">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长江干支流、重要湖泊岸线一公里范围内新建、扩建化工园区和化工项目。禁止在长江于流岸线三公里范围内和重要支流岸线一公里范围内新建、改建、扩建尾矿库、冶炼渣库和磷石膏库，以提升安全、生态环境保护水平为目的的改建除外。</w:t>
                  </w:r>
                </w:p>
              </w:tc>
              <w:tc>
                <w:tcPr>
                  <w:tcW w:w="2353" w:type="dxa"/>
                  <w:vAlign w:val="center"/>
                </w:tcPr>
                <w:p w14:paraId="038854B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位于昆明市禄劝县团街镇境内，不属于</w:t>
                  </w:r>
                  <w:r>
                    <w:rPr>
                      <w:rFonts w:hint="default" w:ascii="Times New Roman" w:hAnsi="Times New Roman" w:eastAsia="宋体" w:cs="Times New Roman"/>
                      <w:caps w:val="0"/>
                      <w:color w:val="auto"/>
                      <w:spacing w:val="0"/>
                      <w:sz w:val="21"/>
                      <w:szCs w:val="21"/>
                      <w:highlight w:val="none"/>
                      <w:vertAlign w:val="baseline"/>
                      <w:lang w:val="en-US" w:eastAsia="zh-CN"/>
                    </w:rPr>
                    <w:t>化工园区和化工项目；亦不属于尾矿库、冶炼渣库和磷石膏库类建设项目。</w:t>
                  </w:r>
                </w:p>
              </w:tc>
              <w:tc>
                <w:tcPr>
                  <w:tcW w:w="724" w:type="dxa"/>
                  <w:vAlign w:val="center"/>
                </w:tcPr>
                <w:p w14:paraId="61277D17">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3FBF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61" w:type="dxa"/>
                  <w:vAlign w:val="center"/>
                </w:tcPr>
                <w:p w14:paraId="056BA182">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9</w:t>
                  </w:r>
                </w:p>
              </w:tc>
              <w:tc>
                <w:tcPr>
                  <w:tcW w:w="4200" w:type="dxa"/>
                  <w:vAlign w:val="center"/>
                </w:tcPr>
                <w:p w14:paraId="500526CE">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禁止在合规园区外新建、扩建钢铁、石化、化工、焦化、建材、有色、制浆造纸等高污染项目。</w:t>
                  </w:r>
                </w:p>
              </w:tc>
              <w:tc>
                <w:tcPr>
                  <w:tcW w:w="2353" w:type="dxa"/>
                  <w:vAlign w:val="center"/>
                </w:tcPr>
                <w:p w14:paraId="25B37125">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项目不属于该类禁止建设类高污染项目。</w:t>
                  </w:r>
                </w:p>
              </w:tc>
              <w:tc>
                <w:tcPr>
                  <w:tcW w:w="724" w:type="dxa"/>
                  <w:vAlign w:val="center"/>
                </w:tcPr>
                <w:p w14:paraId="5E39EE36">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7655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61" w:type="dxa"/>
                  <w:vAlign w:val="center"/>
                </w:tcPr>
                <w:p w14:paraId="35429F3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10</w:t>
                  </w:r>
                </w:p>
              </w:tc>
              <w:tc>
                <w:tcPr>
                  <w:tcW w:w="4200" w:type="dxa"/>
                  <w:vAlign w:val="center"/>
                </w:tcPr>
                <w:p w14:paraId="2219B639">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禁止新建、扩建不符合国家石化、现代煤化工等产业布局规划的项目。</w:t>
                  </w:r>
                </w:p>
              </w:tc>
              <w:tc>
                <w:tcPr>
                  <w:tcW w:w="2353" w:type="dxa"/>
                  <w:vAlign w:val="center"/>
                </w:tcPr>
                <w:p w14:paraId="0CF73C08">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724" w:type="dxa"/>
                  <w:vAlign w:val="center"/>
                </w:tcPr>
                <w:p w14:paraId="27B4D7FC">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5AA9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trPr>
              <w:tc>
                <w:tcPr>
                  <w:tcW w:w="461" w:type="dxa"/>
                  <w:vAlign w:val="center"/>
                </w:tcPr>
                <w:p w14:paraId="43E3AAD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caps w:val="0"/>
                      <w:color w:val="auto"/>
                      <w:spacing w:val="0"/>
                      <w:sz w:val="21"/>
                      <w:szCs w:val="21"/>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11</w:t>
                  </w:r>
                </w:p>
              </w:tc>
              <w:tc>
                <w:tcPr>
                  <w:tcW w:w="4200" w:type="dxa"/>
                  <w:vAlign w:val="center"/>
                </w:tcPr>
                <w:p w14:paraId="5944EA6B">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caps w:val="0"/>
                      <w:color w:val="auto"/>
                      <w:spacing w:val="0"/>
                      <w:sz w:val="21"/>
                      <w:szCs w:val="21"/>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2353" w:type="dxa"/>
                  <w:vAlign w:val="center"/>
                </w:tcPr>
                <w:p w14:paraId="0EF13FAB">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caps w:val="0"/>
                      <w:color w:val="auto"/>
                      <w:spacing w:val="0"/>
                      <w:sz w:val="21"/>
                      <w:szCs w:val="21"/>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本工程不属于落后产能 项目、过剩产能行业的项目，也不属于高耗能高排放项目。</w:t>
                  </w:r>
                </w:p>
              </w:tc>
              <w:tc>
                <w:tcPr>
                  <w:tcW w:w="724" w:type="dxa"/>
                  <w:vAlign w:val="center"/>
                </w:tcPr>
                <w:p w14:paraId="06F67A8B">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bl>
          <w:p w14:paraId="4C402DF5">
            <w:pPr>
              <w:pStyle w:val="31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val="0"/>
                <w:bCs w:val="0"/>
                <w:caps w:val="0"/>
                <w:color w:val="auto"/>
                <w:sz w:val="24"/>
                <w:szCs w:val="24"/>
                <w:highlight w:val="none"/>
                <w:lang w:val="en-US" w:eastAsia="zh-CN"/>
              </w:rPr>
              <w:t>综上分析，本项目不属于《长江经济带发展负面清单指南 (试行，2022年版)》中的负面清单建设项目，项目的建设符合《长江经济带发展负面清单指南 (试行，2022年版)》的相关要求。</w:t>
            </w:r>
          </w:p>
          <w:p w14:paraId="706A230F">
            <w:pPr>
              <w:pStyle w:val="316"/>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kern w:val="0"/>
                <w:sz w:val="24"/>
                <w:highlight w:val="none"/>
                <w:lang w:val="en-US" w:eastAsia="zh-CN"/>
              </w:rPr>
              <w:t>10、</w:t>
            </w:r>
            <w:r>
              <w:rPr>
                <w:rFonts w:hint="default" w:ascii="Times New Roman" w:hAnsi="Times New Roman" w:eastAsia="宋体" w:cs="Times New Roman"/>
                <w:b/>
                <w:bCs/>
                <w:color w:val="auto"/>
                <w:szCs w:val="24"/>
                <w:highlight w:val="none"/>
                <w:lang w:val="en-US" w:eastAsia="zh-CN"/>
              </w:rPr>
              <w:t>与</w:t>
            </w:r>
            <w:r>
              <w:rPr>
                <w:rFonts w:hint="default" w:ascii="Times New Roman" w:hAnsi="Times New Roman" w:eastAsia="宋体" w:cs="Times New Roman"/>
                <w:b/>
                <w:bCs/>
                <w:color w:val="auto"/>
                <w:szCs w:val="24"/>
                <w:highlight w:val="none"/>
              </w:rPr>
              <w:t>《云南省长江经济带发展负面清单指南实施细则（试行，2022年版）》</w:t>
            </w:r>
            <w:r>
              <w:rPr>
                <w:rFonts w:hint="default" w:ascii="Times New Roman" w:hAnsi="Times New Roman" w:eastAsia="宋体" w:cs="Times New Roman"/>
                <w:b/>
                <w:bCs/>
                <w:color w:val="auto"/>
                <w:szCs w:val="24"/>
                <w:highlight w:val="none"/>
                <w:lang w:val="en-US" w:eastAsia="zh-CN"/>
              </w:rPr>
              <w:t>符合性分析</w:t>
            </w:r>
          </w:p>
          <w:p w14:paraId="74772711">
            <w:pPr>
              <w:pStyle w:val="316"/>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本项目不涉及</w:t>
            </w:r>
            <w:r>
              <w:rPr>
                <w:rFonts w:hint="default" w:ascii="Times New Roman" w:hAnsi="Times New Roman" w:eastAsia="宋体" w:cs="Times New Roman"/>
                <w:color w:val="auto"/>
                <w:kern w:val="0"/>
                <w:sz w:val="24"/>
                <w:highlight w:val="none"/>
              </w:rPr>
              <w:t>自然保护区、风景名胜区、森林公园</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饮用水水源地保护区</w:t>
            </w:r>
            <w:r>
              <w:rPr>
                <w:rFonts w:hint="default" w:ascii="Times New Roman" w:hAnsi="Times New Roman" w:eastAsia="宋体" w:cs="Times New Roman"/>
                <w:color w:val="auto"/>
                <w:kern w:val="0"/>
                <w:sz w:val="24"/>
                <w:highlight w:val="none"/>
              </w:rPr>
              <w:t>环境敏感区</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也不涉及占用生态红线及基本农田</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SA"/>
              </w:rPr>
              <w:t>根据对照《云南省长江经济带发展负面清单指南实施细则（试行，2022年版）》，本项目与之符合性分析详见下表：</w:t>
            </w:r>
          </w:p>
          <w:p w14:paraId="5A919C6C">
            <w:pPr>
              <w:pStyle w:val="316"/>
              <w:keepNext w:val="0"/>
              <w:keepLines w:val="0"/>
              <w:pageBreakBefore w:val="0"/>
              <w:widowControl w:val="0"/>
              <w:kinsoku/>
              <w:wordWrap/>
              <w:overflowPunct/>
              <w:topLinePunct w:val="0"/>
              <w:autoSpaceDE/>
              <w:autoSpaceDN/>
              <w:bidi w:val="0"/>
              <w:adjustRightInd/>
              <w:snapToGrid/>
              <w:spacing w:line="336" w:lineRule="auto"/>
              <w:ind w:firstLine="480"/>
              <w:jc w:val="center"/>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表1-8  项目与长江经济带发展负面清单符合性分析</w:t>
            </w:r>
          </w:p>
          <w:tbl>
            <w:tblPr>
              <w:tblStyle w:val="50"/>
              <w:tblW w:w="7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4650"/>
              <w:gridCol w:w="1815"/>
              <w:gridCol w:w="640"/>
            </w:tblGrid>
            <w:tr w14:paraId="1D71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67D8A6C6">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序号</w:t>
                  </w:r>
                </w:p>
              </w:tc>
              <w:tc>
                <w:tcPr>
                  <w:tcW w:w="4650" w:type="dxa"/>
                  <w:vAlign w:val="center"/>
                </w:tcPr>
                <w:p w14:paraId="330D897A">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要求</w:t>
                  </w:r>
                </w:p>
              </w:tc>
              <w:tc>
                <w:tcPr>
                  <w:tcW w:w="1815" w:type="dxa"/>
                  <w:vAlign w:val="center"/>
                </w:tcPr>
                <w:p w14:paraId="6E01D6BE">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项目情况</w:t>
                  </w:r>
                </w:p>
              </w:tc>
              <w:tc>
                <w:tcPr>
                  <w:tcW w:w="640" w:type="dxa"/>
                  <w:vAlign w:val="center"/>
                </w:tcPr>
                <w:p w14:paraId="2A5BAD0B">
                  <w:pPr>
                    <w:pStyle w:val="316"/>
                    <w:keepNext w:val="0"/>
                    <w:keepLines w:val="0"/>
                    <w:pageBreakBefore w:val="0"/>
                    <w:widowControl w:val="0"/>
                    <w:kinsoku/>
                    <w:wordWrap/>
                    <w:overflowPunct/>
                    <w:topLinePunct w:val="0"/>
                    <w:autoSpaceDE/>
                    <w:autoSpaceDN/>
                    <w:bidi w:val="0"/>
                    <w:adjustRightInd/>
                    <w:snapToGrid/>
                    <w:spacing w:line="276" w:lineRule="auto"/>
                    <w:ind w:left="-105" w:leftChars="-50" w:right="-105" w:rightChars="-5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iCs/>
                      <w:caps w:val="0"/>
                      <w:color w:val="auto"/>
                      <w:spacing w:val="0"/>
                      <w:sz w:val="21"/>
                      <w:szCs w:val="21"/>
                      <w:highlight w:val="none"/>
                      <w:vertAlign w:val="baseline"/>
                      <w:lang w:val="en-US" w:eastAsia="zh-CN"/>
                    </w:rPr>
                    <w:t>符合性</w:t>
                  </w:r>
                </w:p>
              </w:tc>
            </w:tr>
            <w:tr w14:paraId="1F0A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259AAD3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1</w:t>
                  </w:r>
                </w:p>
              </w:tc>
              <w:tc>
                <w:tcPr>
                  <w:tcW w:w="4650" w:type="dxa"/>
                  <w:vAlign w:val="center"/>
                </w:tcPr>
                <w:p w14:paraId="36775899">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禁止建设不符合全国和省级港口布局规划以及港口总体规划的码头项目。</w:t>
                  </w:r>
                </w:p>
              </w:tc>
              <w:tc>
                <w:tcPr>
                  <w:tcW w:w="1815" w:type="dxa"/>
                  <w:vAlign w:val="center"/>
                </w:tcPr>
                <w:p w14:paraId="233A0349">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不属于</w:t>
                  </w:r>
                  <w:r>
                    <w:rPr>
                      <w:rFonts w:hint="default" w:ascii="Times New Roman" w:hAnsi="Times New Roman" w:eastAsia="宋体" w:cs="Times New Roman"/>
                      <w:b w:val="0"/>
                      <w:bCs w:val="0"/>
                      <w:iCs/>
                      <w:caps w:val="0"/>
                      <w:color w:val="auto"/>
                      <w:spacing w:val="-11"/>
                      <w:sz w:val="21"/>
                      <w:szCs w:val="21"/>
                      <w:highlight w:val="none"/>
                      <w:lang w:val="en-US" w:eastAsia="zh-CN"/>
                    </w:rPr>
                    <w:t>该类禁止建设项目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w:t>
                  </w:r>
                </w:p>
              </w:tc>
              <w:tc>
                <w:tcPr>
                  <w:tcW w:w="640" w:type="dxa"/>
                  <w:vAlign w:val="center"/>
                </w:tcPr>
                <w:p w14:paraId="7D0E5ACB">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6EBD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AF84808">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2</w:t>
                  </w:r>
                </w:p>
              </w:tc>
              <w:tc>
                <w:tcPr>
                  <w:tcW w:w="4650" w:type="dxa"/>
                  <w:vAlign w:val="center"/>
                </w:tcPr>
                <w:p w14:paraId="582D69F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1815" w:type="dxa"/>
                  <w:vAlign w:val="center"/>
                </w:tcPr>
                <w:p w14:paraId="79AED61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项目不涉及自然保护区、风景名胜区、饮用水源地保护区、生态保护红线等环境敏感区，且本项目不属于禁止开发性、生产性建设活动。</w:t>
                  </w:r>
                </w:p>
              </w:tc>
              <w:tc>
                <w:tcPr>
                  <w:tcW w:w="640" w:type="dxa"/>
                  <w:vAlign w:val="center"/>
                </w:tcPr>
                <w:p w14:paraId="1536B0C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5CC5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310010F">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3</w:t>
                  </w:r>
                </w:p>
              </w:tc>
              <w:tc>
                <w:tcPr>
                  <w:tcW w:w="4650" w:type="dxa"/>
                  <w:vAlign w:val="center"/>
                </w:tcPr>
                <w:p w14:paraId="02E6A9F8">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1815" w:type="dxa"/>
                  <w:vAlign w:val="center"/>
                </w:tcPr>
                <w:p w14:paraId="57BA53F6">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不涉及自然保护区，亦不属于该类禁止建设类项目。</w:t>
                  </w:r>
                </w:p>
              </w:tc>
              <w:tc>
                <w:tcPr>
                  <w:tcW w:w="640" w:type="dxa"/>
                  <w:vAlign w:val="center"/>
                </w:tcPr>
                <w:p w14:paraId="3BC508C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47AC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DBD03A9">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4</w:t>
                  </w:r>
                </w:p>
              </w:tc>
              <w:tc>
                <w:tcPr>
                  <w:tcW w:w="4650" w:type="dxa"/>
                  <w:vAlign w:val="center"/>
                </w:tcPr>
                <w:p w14:paraId="0A13C0E7">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1815" w:type="dxa"/>
                  <w:vAlign w:val="center"/>
                </w:tcPr>
                <w:p w14:paraId="09BE61D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不涉及风景名胜区，亦不属于该类禁止建设类项目。</w:t>
                  </w:r>
                </w:p>
              </w:tc>
              <w:tc>
                <w:tcPr>
                  <w:tcW w:w="640" w:type="dxa"/>
                  <w:vAlign w:val="center"/>
                </w:tcPr>
                <w:p w14:paraId="3AB46E5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2A96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1FB3456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5</w:t>
                  </w:r>
                </w:p>
              </w:tc>
              <w:tc>
                <w:tcPr>
                  <w:tcW w:w="4650" w:type="dxa"/>
                  <w:vAlign w:val="center"/>
                </w:tcPr>
                <w:p w14:paraId="39349A4D">
                  <w:pPr>
                    <w:pStyle w:val="316"/>
                    <w:keepNext w:val="0"/>
                    <w:keepLines w:val="0"/>
                    <w:pageBreakBefore w:val="0"/>
                    <w:widowControl w:val="0"/>
                    <w:kinsoku/>
                    <w:wordWrap/>
                    <w:overflowPunct/>
                    <w:topLinePunct w:val="0"/>
                    <w:autoSpaceDE/>
                    <w:autoSpaceDN/>
                    <w:bidi w:val="0"/>
                    <w:adjustRightInd/>
                    <w:snapToGrid/>
                    <w:spacing w:line="276" w:lineRule="auto"/>
                    <w:ind w:left="-63" w:leftChars="-30" w:right="-63" w:rightChars="-3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1815" w:type="dxa"/>
                  <w:vAlign w:val="center"/>
                </w:tcPr>
                <w:p w14:paraId="6B351E57">
                  <w:pPr>
                    <w:pStyle w:val="316"/>
                    <w:keepNext w:val="0"/>
                    <w:keepLines w:val="0"/>
                    <w:pageBreakBefore w:val="0"/>
                    <w:widowControl w:val="0"/>
                    <w:kinsoku/>
                    <w:wordWrap/>
                    <w:overflowPunct/>
                    <w:topLinePunct w:val="0"/>
                    <w:autoSpaceDE/>
                    <w:autoSpaceDN/>
                    <w:bidi w:val="0"/>
                    <w:adjustRightInd/>
                    <w:snapToGrid/>
                    <w:spacing w:line="276" w:lineRule="auto"/>
                    <w:ind w:left="-63" w:leftChars="-30" w:right="-63" w:rightChars="-30" w:firstLine="0" w:firstLineChars="0"/>
                    <w:jc w:val="center"/>
                    <w:textAlignment w:val="auto"/>
                    <w:rPr>
                      <w:rFonts w:hint="default" w:ascii="Times New Roman" w:hAnsi="Times New Roman" w:eastAsia="宋体" w:cs="Times New Roman"/>
                      <w:color w:val="auto"/>
                      <w:sz w:val="21"/>
                      <w:szCs w:val="21"/>
                      <w:highlight w:val="none"/>
                    </w:rPr>
                  </w:pPr>
                </w:p>
                <w:p w14:paraId="4656BC33">
                  <w:pPr>
                    <w:pStyle w:val="316"/>
                    <w:keepNext w:val="0"/>
                    <w:keepLines w:val="0"/>
                    <w:pageBreakBefore w:val="0"/>
                    <w:widowControl w:val="0"/>
                    <w:kinsoku/>
                    <w:wordWrap/>
                    <w:overflowPunct/>
                    <w:topLinePunct w:val="0"/>
                    <w:autoSpaceDE/>
                    <w:autoSpaceDN/>
                    <w:bidi w:val="0"/>
                    <w:adjustRightInd/>
                    <w:snapToGrid/>
                    <w:spacing w:line="276" w:lineRule="auto"/>
                    <w:ind w:left="-63" w:leftChars="-30" w:right="-63" w:rightChars="-3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不涉及国家湿地公园，亦不属于该类禁止建设类项目。</w:t>
                  </w:r>
                </w:p>
              </w:tc>
              <w:tc>
                <w:tcPr>
                  <w:tcW w:w="640" w:type="dxa"/>
                  <w:vAlign w:val="center"/>
                </w:tcPr>
                <w:p w14:paraId="507BBCFA">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64CF3DC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642D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C93835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6</w:t>
                  </w:r>
                </w:p>
              </w:tc>
              <w:tc>
                <w:tcPr>
                  <w:tcW w:w="4650" w:type="dxa"/>
                  <w:vAlign w:val="center"/>
                </w:tcPr>
                <w:p w14:paraId="2596E58A">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1815" w:type="dxa"/>
                  <w:vAlign w:val="center"/>
                </w:tcPr>
                <w:p w14:paraId="7A2F4C37">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位于昆明市禄劝县团街镇境内，项目不涉及</w:t>
                  </w:r>
                  <w:r>
                    <w:rPr>
                      <w:rFonts w:hint="default" w:ascii="Times New Roman" w:hAnsi="Times New Roman" w:eastAsia="宋体" w:cs="Times New Roman"/>
                      <w:caps w:val="0"/>
                      <w:color w:val="auto"/>
                      <w:spacing w:val="0"/>
                      <w:sz w:val="21"/>
                      <w:szCs w:val="21"/>
                      <w:highlight w:val="none"/>
                      <w:vertAlign w:val="baseline"/>
                      <w:lang w:val="en-US" w:eastAsia="zh-CN"/>
                    </w:rPr>
                    <w:t>饮用水水源保护区。</w:t>
                  </w:r>
                </w:p>
              </w:tc>
              <w:tc>
                <w:tcPr>
                  <w:tcW w:w="640" w:type="dxa"/>
                  <w:vAlign w:val="center"/>
                </w:tcPr>
                <w:p w14:paraId="4593CB44">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0B74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4D524F33">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7</w:t>
                  </w:r>
                </w:p>
              </w:tc>
              <w:tc>
                <w:tcPr>
                  <w:tcW w:w="4650" w:type="dxa"/>
                  <w:vAlign w:val="center"/>
                </w:tcPr>
                <w:p w14:paraId="61A22D95">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p>
              </w:tc>
              <w:tc>
                <w:tcPr>
                  <w:tcW w:w="1815" w:type="dxa"/>
                  <w:vAlign w:val="center"/>
                </w:tcPr>
                <w:p w14:paraId="0EB06DC8">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位于昆明市禄劝彝族苗族自治县境内，项目</w:t>
                  </w:r>
                  <w:r>
                    <w:rPr>
                      <w:rFonts w:hint="default" w:ascii="Times New Roman" w:hAnsi="Times New Roman" w:eastAsia="宋体" w:cs="Times New Roman"/>
                      <w:caps w:val="0"/>
                      <w:color w:val="auto"/>
                      <w:spacing w:val="0"/>
                      <w:sz w:val="21"/>
                      <w:szCs w:val="21"/>
                      <w:highlight w:val="none"/>
                      <w:vertAlign w:val="baseline"/>
                      <w:lang w:val="en-US" w:eastAsia="zh-CN"/>
                    </w:rPr>
                    <w:t>不属于长江岸线保护和开发利用总体规划范围</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。项目属于</w:t>
                  </w:r>
                  <w:r>
                    <w:rPr>
                      <w:rFonts w:hint="default" w:ascii="Times New Roman" w:hAnsi="Times New Roman" w:eastAsia="宋体" w:cs="Times New Roman"/>
                      <w:caps w:val="0"/>
                      <w:color w:val="auto"/>
                      <w:spacing w:val="0"/>
                      <w:sz w:val="21"/>
                      <w:szCs w:val="21"/>
                      <w:highlight w:val="none"/>
                      <w:vertAlign w:val="baseline"/>
                      <w:lang w:val="en-US" w:eastAsia="zh-CN"/>
                    </w:rPr>
                    <w:t>能源基础设施建设项目，不涉及基本农田对基本农田影响较小。</w:t>
                  </w:r>
                </w:p>
              </w:tc>
              <w:tc>
                <w:tcPr>
                  <w:tcW w:w="640" w:type="dxa"/>
                  <w:vAlign w:val="center"/>
                </w:tcPr>
                <w:p w14:paraId="1B8AC4F4">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74A4747A">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509A7810">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11356DAA">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34904F13">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29A261D2">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189C57C4">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5EF3A9E0">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7456C40E">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39082ABE">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val="0"/>
                      <w:bCs w:val="0"/>
                      <w:caps w:val="0"/>
                      <w:color w:val="auto"/>
                      <w:spacing w:val="0"/>
                      <w:sz w:val="21"/>
                      <w:szCs w:val="21"/>
                      <w:highlight w:val="none"/>
                      <w:vertAlign w:val="baseline"/>
                      <w:lang w:val="en-US" w:eastAsia="zh-CN"/>
                    </w:rPr>
                  </w:pPr>
                </w:p>
                <w:p w14:paraId="333336A4">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2ECD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8496DE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8</w:t>
                  </w:r>
                </w:p>
              </w:tc>
              <w:tc>
                <w:tcPr>
                  <w:tcW w:w="4650" w:type="dxa"/>
                  <w:vAlign w:val="center"/>
                </w:tcPr>
                <w:p w14:paraId="7505BA0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1815" w:type="dxa"/>
                  <w:vAlign w:val="center"/>
                </w:tcPr>
                <w:p w14:paraId="71113A0E">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640" w:type="dxa"/>
                  <w:vAlign w:val="center"/>
                </w:tcPr>
                <w:p w14:paraId="7979ED37">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4E7D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1827E8B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9</w:t>
                  </w:r>
                </w:p>
              </w:tc>
              <w:tc>
                <w:tcPr>
                  <w:tcW w:w="4650" w:type="dxa"/>
                  <w:vAlign w:val="center"/>
                </w:tcPr>
                <w:p w14:paraId="51010FF8">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1815" w:type="dxa"/>
                  <w:vAlign w:val="center"/>
                </w:tcPr>
                <w:p w14:paraId="23702A63">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640" w:type="dxa"/>
                  <w:vAlign w:val="center"/>
                </w:tcPr>
                <w:p w14:paraId="6907497C">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0EE4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1A6B2676">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10</w:t>
                  </w:r>
                </w:p>
              </w:tc>
              <w:tc>
                <w:tcPr>
                  <w:tcW w:w="4650" w:type="dxa"/>
                  <w:vAlign w:val="center"/>
                </w:tcPr>
                <w:p w14:paraId="65F9602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金沙江、长江一级支流（详见附件1）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815" w:type="dxa"/>
                  <w:vAlign w:val="center"/>
                </w:tcPr>
                <w:p w14:paraId="2B7B937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640" w:type="dxa"/>
                  <w:vAlign w:val="center"/>
                </w:tcPr>
                <w:p w14:paraId="42FBC780">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0A12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AFCD60C">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11</w:t>
                  </w:r>
                </w:p>
              </w:tc>
              <w:tc>
                <w:tcPr>
                  <w:tcW w:w="4650" w:type="dxa"/>
                  <w:vAlign w:val="center"/>
                </w:tcPr>
                <w:p w14:paraId="381B179A">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禁止在金沙江干流岸线3公里、长江（金沙江）一级支流岸线1公里范围内新建、改建、扩建尾矿库、冶炼渣库和磷石膏库，以提升安全、生态环境保护水平为目的的改建除外。</w:t>
                  </w:r>
                </w:p>
              </w:tc>
              <w:tc>
                <w:tcPr>
                  <w:tcW w:w="1815" w:type="dxa"/>
                  <w:vAlign w:val="center"/>
                </w:tcPr>
                <w:p w14:paraId="1ED9DC2A">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640" w:type="dxa"/>
                  <w:vAlign w:val="center"/>
                </w:tcPr>
                <w:p w14:paraId="64D12964">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6837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58AFE2B8">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12</w:t>
                  </w:r>
                </w:p>
              </w:tc>
              <w:tc>
                <w:tcPr>
                  <w:tcW w:w="4650" w:type="dxa"/>
                  <w:vAlign w:val="center"/>
                </w:tcPr>
                <w:p w14:paraId="633928AD">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禁止在合规园区外新建、扩建钢铁、石化、化工、焦化、建材、有色、制浆造纸等高污染项目。禁止新增钢铁、水泥、平板玻璃等行业建设产能，确有必要建设的，应按规定实施产能等量或减量置换。</w:t>
                  </w:r>
                </w:p>
              </w:tc>
              <w:tc>
                <w:tcPr>
                  <w:tcW w:w="1815" w:type="dxa"/>
                  <w:vAlign w:val="center"/>
                </w:tcPr>
                <w:p w14:paraId="07CF666A">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640" w:type="dxa"/>
                  <w:vAlign w:val="center"/>
                </w:tcPr>
                <w:p w14:paraId="62EE8789">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139A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3F7C4514">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13</w:t>
                  </w:r>
                </w:p>
              </w:tc>
              <w:tc>
                <w:tcPr>
                  <w:tcW w:w="4650" w:type="dxa"/>
                  <w:vAlign w:val="center"/>
                </w:tcPr>
                <w:p w14:paraId="14A3C3C6">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815" w:type="dxa"/>
                  <w:vAlign w:val="center"/>
                </w:tcPr>
                <w:p w14:paraId="7615AB67">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本项目不涉及。</w:t>
                  </w:r>
                </w:p>
              </w:tc>
              <w:tc>
                <w:tcPr>
                  <w:tcW w:w="640" w:type="dxa"/>
                  <w:vAlign w:val="center"/>
                </w:tcPr>
                <w:p w14:paraId="752B67F1">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r w14:paraId="6939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14:paraId="69A2EE61">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14</w:t>
                  </w:r>
                </w:p>
              </w:tc>
              <w:tc>
                <w:tcPr>
                  <w:tcW w:w="4650" w:type="dxa"/>
                  <w:vAlign w:val="center"/>
                </w:tcPr>
                <w:p w14:paraId="2B82DB05">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aps w:val="0"/>
                      <w:color w:val="auto"/>
                      <w:spacing w:val="0"/>
                      <w:sz w:val="21"/>
                      <w:szCs w:val="21"/>
                      <w:highlight w:val="none"/>
                      <w:vertAlign w:val="baseline"/>
                      <w:lang w:val="en-US" w:eastAsia="zh-CN"/>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815" w:type="dxa"/>
                  <w:vAlign w:val="center"/>
                </w:tcPr>
                <w:p w14:paraId="6DDE2BB0">
                  <w:pPr>
                    <w:pStyle w:val="316"/>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rPr>
                    <w:t>本项目为输变电</w:t>
                  </w:r>
                  <w:r>
                    <w:rPr>
                      <w:rFonts w:hint="default" w:ascii="Times New Roman" w:hAnsi="Times New Roman" w:eastAsia="宋体" w:cs="Times New Roman"/>
                      <w:color w:val="auto"/>
                      <w:sz w:val="21"/>
                      <w:szCs w:val="21"/>
                      <w:highlight w:val="none"/>
                      <w:lang w:val="en-US" w:eastAsia="zh-CN"/>
                    </w:rPr>
                    <w:t>基础设施</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b w:val="0"/>
                      <w:bCs w:val="0"/>
                      <w:caps w:val="0"/>
                      <w:color w:val="auto"/>
                      <w:spacing w:val="0"/>
                      <w:sz w:val="21"/>
                      <w:szCs w:val="21"/>
                      <w:highlight w:val="none"/>
                      <w:vertAlign w:val="baseline"/>
                      <w:lang w:val="en-US" w:eastAsia="zh-CN"/>
                    </w:rPr>
                    <w:t>位于昆明市禄劝县团街镇境内，不属于</w:t>
                  </w:r>
                  <w:r>
                    <w:rPr>
                      <w:rFonts w:hint="default" w:ascii="Times New Roman" w:hAnsi="Times New Roman" w:eastAsia="宋体" w:cs="Times New Roman"/>
                      <w:caps w:val="0"/>
                      <w:color w:val="auto"/>
                      <w:spacing w:val="0"/>
                      <w:sz w:val="21"/>
                      <w:szCs w:val="21"/>
                      <w:highlight w:val="none"/>
                      <w:vertAlign w:val="baseline"/>
                      <w:lang w:val="en-US" w:eastAsia="zh-CN"/>
                    </w:rPr>
                    <w:t>落后产能项目、淘汰项目，也不属于高污染、高排放类建设项目，属于国家鼓励建设类基础设施建设项目。</w:t>
                  </w:r>
                </w:p>
              </w:tc>
              <w:tc>
                <w:tcPr>
                  <w:tcW w:w="640" w:type="dxa"/>
                  <w:vAlign w:val="center"/>
                </w:tcPr>
                <w:p w14:paraId="07F8FF8A">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center"/>
                    <w:textAlignment w:val="auto"/>
                    <w:rPr>
                      <w:rFonts w:hint="default" w:ascii="Times New Roman" w:hAnsi="Times New Roman" w:eastAsia="宋体" w:cs="Times New Roman"/>
                      <w:b/>
                      <w:bCs/>
                      <w:caps w:val="0"/>
                      <w:color w:val="auto"/>
                      <w:sz w:val="24"/>
                      <w:szCs w:val="24"/>
                      <w:highlight w:val="none"/>
                      <w:vertAlign w:val="baseline"/>
                      <w:lang w:val="en-US" w:eastAsia="zh-CN"/>
                    </w:rPr>
                  </w:pPr>
                  <w:r>
                    <w:rPr>
                      <w:rFonts w:hint="default" w:ascii="Times New Roman" w:hAnsi="Times New Roman" w:eastAsia="宋体" w:cs="Times New Roman"/>
                      <w:b w:val="0"/>
                      <w:bCs w:val="0"/>
                      <w:caps w:val="0"/>
                      <w:color w:val="auto"/>
                      <w:spacing w:val="0"/>
                      <w:sz w:val="21"/>
                      <w:szCs w:val="21"/>
                      <w:highlight w:val="none"/>
                      <w:vertAlign w:val="baseline"/>
                      <w:lang w:val="en-US" w:eastAsia="zh-CN"/>
                    </w:rPr>
                    <w:t>符合</w:t>
                  </w:r>
                </w:p>
              </w:tc>
            </w:tr>
          </w:tbl>
          <w:p w14:paraId="5DAAD6D5">
            <w:pPr>
              <w:pStyle w:val="31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bCs w:val="0"/>
                <w:caps w:val="0"/>
                <w:color w:val="auto"/>
                <w:sz w:val="24"/>
                <w:szCs w:val="24"/>
                <w:highlight w:val="none"/>
                <w:lang w:val="en-US" w:eastAsia="zh-CN"/>
              </w:rPr>
            </w:pPr>
            <w:r>
              <w:rPr>
                <w:rFonts w:hint="default" w:ascii="Times New Roman" w:hAnsi="Times New Roman" w:eastAsia="宋体" w:cs="Times New Roman"/>
                <w:b w:val="0"/>
                <w:bCs w:val="0"/>
                <w:caps w:val="0"/>
                <w:color w:val="auto"/>
                <w:sz w:val="24"/>
                <w:szCs w:val="24"/>
                <w:highlight w:val="none"/>
                <w:lang w:val="en-US" w:eastAsia="zh-CN"/>
              </w:rPr>
              <w:t>综上分析，本项目不属于</w:t>
            </w:r>
            <w:r>
              <w:rPr>
                <w:rFonts w:hint="default" w:ascii="Times New Roman" w:hAnsi="Times New Roman" w:eastAsia="宋体" w:cs="Times New Roman"/>
                <w:b w:val="0"/>
                <w:bCs w:val="0"/>
                <w:color w:val="auto"/>
                <w:kern w:val="2"/>
                <w:sz w:val="24"/>
                <w:szCs w:val="24"/>
                <w:highlight w:val="none"/>
                <w:lang w:val="en-US" w:eastAsia="zh-CN" w:bidi="ar-SA"/>
              </w:rPr>
              <w:t>《云南省长江经济带发展负面清单指南实施细则（试行，2022年版）》</w:t>
            </w:r>
            <w:r>
              <w:rPr>
                <w:rFonts w:hint="default" w:ascii="Times New Roman" w:hAnsi="Times New Roman" w:eastAsia="宋体" w:cs="Times New Roman"/>
                <w:b w:val="0"/>
                <w:bCs w:val="0"/>
                <w:caps w:val="0"/>
                <w:color w:val="auto"/>
                <w:sz w:val="24"/>
                <w:szCs w:val="24"/>
                <w:highlight w:val="none"/>
                <w:lang w:val="en-US" w:eastAsia="zh-CN"/>
              </w:rPr>
              <w:t>中的负面清单建设项目，项目的建设符合</w:t>
            </w:r>
            <w:r>
              <w:rPr>
                <w:rFonts w:hint="default" w:ascii="Times New Roman" w:hAnsi="Times New Roman" w:eastAsia="宋体" w:cs="Times New Roman"/>
                <w:b w:val="0"/>
                <w:bCs w:val="0"/>
                <w:color w:val="auto"/>
                <w:kern w:val="2"/>
                <w:sz w:val="24"/>
                <w:szCs w:val="24"/>
                <w:highlight w:val="none"/>
                <w:lang w:val="en-US" w:eastAsia="zh-CN" w:bidi="ar-SA"/>
              </w:rPr>
              <w:t>《云南省长江经济带发展负面清单指南实施细则（试行，2022年版）》</w:t>
            </w:r>
            <w:r>
              <w:rPr>
                <w:rFonts w:hint="default" w:ascii="Times New Roman" w:hAnsi="Times New Roman" w:eastAsia="宋体" w:cs="Times New Roman"/>
                <w:b w:val="0"/>
                <w:bCs w:val="0"/>
                <w:caps w:val="0"/>
                <w:color w:val="auto"/>
                <w:sz w:val="24"/>
                <w:szCs w:val="24"/>
                <w:highlight w:val="none"/>
                <w:lang w:val="en-US" w:eastAsia="zh-CN"/>
              </w:rPr>
              <w:t>的相关要求。</w:t>
            </w:r>
          </w:p>
          <w:p w14:paraId="2B2E3EFD">
            <w:pPr>
              <w:pStyle w:val="3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 xml:space="preserve">11、项目与云龙水库水源保护区位置关系 </w:t>
            </w:r>
          </w:p>
          <w:p w14:paraId="55B7D8BC">
            <w:pPr>
              <w:pStyle w:val="3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aps w:val="0"/>
                <w:color w:val="auto"/>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环境影响评价阶段已包含本次评价220kV升压站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根据已批复的《</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环境影响报告表》（批复文号：禄生环复〔2023〕17号）环评阶段，</w:t>
            </w:r>
            <w:r>
              <w:rPr>
                <w:rFonts w:hint="default" w:ascii="Times New Roman" w:hAnsi="Times New Roman" w:eastAsia="宋体" w:cs="Times New Roman"/>
                <w:snapToGrid w:val="0"/>
                <w:color w:val="auto"/>
                <w:kern w:val="0"/>
                <w:sz w:val="24"/>
                <w:szCs w:val="30"/>
                <w:highlight w:val="none"/>
                <w:lang w:eastAsia="zh-CN"/>
              </w:rPr>
              <w:t>禄劝彝族苗族自治县云龙水库水源保护区管理局关于《关于禄劝皎平渡镇永善村120MW中清能禄劝县岩子头200MW等4个光伏电站建设项目出示相关意见的函》的复函（</w:t>
            </w:r>
            <w:r>
              <w:rPr>
                <w:rFonts w:hint="default" w:ascii="Times New Roman" w:hAnsi="Times New Roman" w:eastAsia="宋体" w:cs="Times New Roman"/>
                <w:snapToGrid w:val="0"/>
                <w:color w:val="auto"/>
                <w:kern w:val="0"/>
                <w:sz w:val="24"/>
                <w:szCs w:val="30"/>
                <w:highlight w:val="none"/>
                <w:lang w:val="en-US" w:eastAsia="zh-CN"/>
              </w:rPr>
              <w:t>详见附件4</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可知</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color w:val="auto"/>
                <w:sz w:val="24"/>
                <w:szCs w:val="24"/>
                <w:highlight w:val="none"/>
                <w:lang w:val="en-US" w:eastAsia="zh-CN"/>
              </w:rPr>
              <w:t>本项目220kV升压站选址不涉及云龙水库水源保护区（详见附图12项目与云龙水库水源保护区位置关系图），本项目与云龙水库水源保护区的最近直线距离约9.8km，本项目不涉及云龙水库水源保护区保护范围。</w:t>
            </w:r>
          </w:p>
          <w:p w14:paraId="127655C4">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51CA932">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C27380D">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23A8678C">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A7C3382">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B48D863">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34AE44C6">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4145A994">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9A88998">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240BEA1C">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3A87E21B">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5E536D4D">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2259CDA4">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8EAA30F">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7D08187C">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5C204F95">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6E1FDF4E">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7FCEB240">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1D172ACF">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p w14:paraId="309B5C09">
            <w:pPr>
              <w:autoSpaceDE w:val="0"/>
              <w:autoSpaceDN w:val="0"/>
              <w:adjustRightInd w:val="0"/>
              <w:spacing w:line="360" w:lineRule="auto"/>
              <w:rPr>
                <w:rFonts w:hint="default" w:ascii="Times New Roman" w:hAnsi="Times New Roman" w:eastAsia="宋体" w:cs="Times New Roman"/>
                <w:color w:val="auto"/>
                <w:kern w:val="0"/>
                <w:sz w:val="24"/>
                <w:szCs w:val="24"/>
                <w:highlight w:val="none"/>
              </w:rPr>
            </w:pPr>
          </w:p>
        </w:tc>
      </w:tr>
    </w:tbl>
    <w:p w14:paraId="61937F8E">
      <w:pPr>
        <w:adjustRightInd w:val="0"/>
        <w:spacing w:line="360" w:lineRule="auto"/>
        <w:outlineLvl w:val="9"/>
        <w:rPr>
          <w:rFonts w:hint="default" w:ascii="Times New Roman" w:hAnsi="Times New Roman" w:eastAsia="宋体" w:cs="Times New Roman"/>
          <w:color w:val="auto"/>
          <w:sz w:val="30"/>
          <w:highlight w:val="none"/>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numberInDash" w:start="1"/>
          <w:cols w:space="720" w:num="1"/>
          <w:docGrid w:type="lines" w:linePitch="335" w:charSpace="0"/>
        </w:sectPr>
      </w:pPr>
    </w:p>
    <w:p w14:paraId="553386FD">
      <w:pPr>
        <w:pStyle w:val="43"/>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58" w:name="_Toc17738"/>
      <w:bookmarkStart w:id="59" w:name="_Toc23926"/>
      <w:bookmarkStart w:id="60" w:name="_Toc27515"/>
      <w:bookmarkStart w:id="61" w:name="_Toc12123"/>
      <w:bookmarkStart w:id="62" w:name="_Toc17121"/>
      <w:bookmarkStart w:id="63" w:name="_Toc30675"/>
      <w:bookmarkStart w:id="64" w:name="_Toc10025"/>
      <w:bookmarkStart w:id="65" w:name="_Toc88128708"/>
      <w:bookmarkStart w:id="66" w:name="_Toc8095"/>
      <w:r>
        <w:rPr>
          <w:rFonts w:hint="default" w:ascii="Times New Roman" w:hAnsi="Times New Roman" w:eastAsia="宋体" w:cs="Times New Roman"/>
          <w:b/>
          <w:bCs/>
          <w:snapToGrid w:val="0"/>
          <w:color w:val="auto"/>
          <w:sz w:val="30"/>
          <w:szCs w:val="30"/>
          <w:highlight w:val="none"/>
        </w:rPr>
        <w:t>二、建设内容</w:t>
      </w:r>
      <w:bookmarkEnd w:id="58"/>
      <w:bookmarkEnd w:id="59"/>
      <w:bookmarkEnd w:id="60"/>
      <w:bookmarkEnd w:id="61"/>
      <w:bookmarkEnd w:id="62"/>
      <w:bookmarkEnd w:id="63"/>
      <w:bookmarkEnd w:id="64"/>
      <w:bookmarkEnd w:id="65"/>
      <w:bookmarkEnd w:id="66"/>
    </w:p>
    <w:tbl>
      <w:tblPr>
        <w:tblStyle w:val="49"/>
        <w:tblW w:w="52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275"/>
      </w:tblGrid>
      <w:tr w14:paraId="3E0F4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344" w:type="pct"/>
            <w:vAlign w:val="center"/>
          </w:tcPr>
          <w:p w14:paraId="4EA3D958">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地理位置</w:t>
            </w:r>
          </w:p>
        </w:tc>
        <w:tc>
          <w:tcPr>
            <w:tcW w:w="4655" w:type="pct"/>
            <w:vAlign w:val="center"/>
          </w:tcPr>
          <w:p w14:paraId="1662EB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rPr>
              <w:t>云南省昆明市禄劝县团街镇</w:t>
            </w:r>
            <w:r>
              <w:rPr>
                <w:rFonts w:hint="default" w:ascii="Times New Roman" w:hAnsi="Times New Roman" w:eastAsia="宋体" w:cs="Times New Roman"/>
                <w:color w:val="auto"/>
                <w:sz w:val="24"/>
                <w:szCs w:val="24"/>
                <w:highlight w:val="none"/>
                <w:lang w:val="en-US" w:eastAsia="zh-CN"/>
              </w:rPr>
              <w:t>境内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none"/>
                <w:lang w:val="en-US" w:eastAsia="zh-CN"/>
              </w:rPr>
              <w:t>项目中心地理位置坐标为东经</w:t>
            </w:r>
            <w:r>
              <w:rPr>
                <w:rFonts w:hint="default" w:ascii="Times New Roman" w:hAnsi="Times New Roman" w:eastAsia="宋体" w:cs="Times New Roman"/>
                <w:color w:val="auto"/>
                <w:sz w:val="24"/>
                <w:szCs w:val="24"/>
                <w:highlight w:val="none"/>
                <w:u w:val="none"/>
              </w:rPr>
              <w:t>102°35′11.20</w:t>
            </w:r>
            <w:r>
              <w:rPr>
                <w:rFonts w:hint="default" w:ascii="Times New Roman" w:hAnsi="Times New Roman" w:eastAsia="宋体" w:cs="Times New Roman"/>
                <w:color w:val="auto"/>
                <w:sz w:val="24"/>
                <w:szCs w:val="24"/>
                <w:highlight w:val="none"/>
                <w:u w:val="none"/>
                <w:lang w:val="en-US" w:eastAsia="zh-CN"/>
              </w:rPr>
              <w:t>7</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北纬</w:t>
            </w:r>
            <w:r>
              <w:rPr>
                <w:rFonts w:hint="default" w:ascii="Times New Roman" w:hAnsi="Times New Roman" w:eastAsia="宋体" w:cs="Times New Roman"/>
                <w:color w:val="auto"/>
                <w:sz w:val="24"/>
                <w:szCs w:val="24"/>
                <w:highlight w:val="none"/>
                <w:u w:val="none"/>
              </w:rPr>
              <w:t>25°50′20.63</w:t>
            </w:r>
            <w:r>
              <w:rPr>
                <w:rFonts w:hint="default" w:ascii="Times New Roman" w:hAnsi="Times New Roman" w:eastAsia="宋体"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项目建设区域地势较平坦，项目周边西侧及西南侧为已建团中线道路，交通便利</w:t>
            </w:r>
            <w:r>
              <w:rPr>
                <w:rFonts w:hint="default" w:ascii="Times New Roman" w:hAnsi="Times New Roman" w:eastAsia="宋体" w:cs="Times New Roman"/>
                <w:color w:val="auto"/>
                <w:sz w:val="24"/>
                <w:szCs w:val="24"/>
                <w:highlight w:val="none"/>
              </w:rPr>
              <w:t>。</w:t>
            </w:r>
          </w:p>
          <w:p w14:paraId="7398F9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szCs w:val="24"/>
                <w:highlight w:val="none"/>
                <w:lang w:eastAsia="zh-CN"/>
              </w:rPr>
              <w:t>项目具体位置</w:t>
            </w:r>
            <w:r>
              <w:rPr>
                <w:rFonts w:hint="default" w:ascii="Times New Roman" w:hAnsi="Times New Roman" w:eastAsia="宋体" w:cs="Times New Roman"/>
                <w:color w:val="auto"/>
                <w:sz w:val="24"/>
                <w:szCs w:val="24"/>
                <w:highlight w:val="none"/>
                <w:lang w:val="en-US" w:eastAsia="zh-CN"/>
              </w:rPr>
              <w:t>示意图详</w:t>
            </w:r>
            <w:r>
              <w:rPr>
                <w:rFonts w:hint="default" w:ascii="Times New Roman" w:hAnsi="Times New Roman" w:eastAsia="宋体" w:cs="Times New Roman"/>
                <w:color w:val="auto"/>
                <w:sz w:val="24"/>
                <w:szCs w:val="24"/>
                <w:highlight w:val="none"/>
                <w:lang w:eastAsia="zh-CN"/>
              </w:rPr>
              <w:t>见附图1。</w:t>
            </w:r>
          </w:p>
        </w:tc>
      </w:tr>
      <w:tr w14:paraId="4478F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44" w:type="pct"/>
            <w:vAlign w:val="center"/>
          </w:tcPr>
          <w:p w14:paraId="514D9B7A">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项目组成及规模</w:t>
            </w:r>
          </w:p>
        </w:tc>
        <w:tc>
          <w:tcPr>
            <w:tcW w:w="4655" w:type="pct"/>
            <w:vAlign w:val="center"/>
          </w:tcPr>
          <w:p w14:paraId="7B073F4C">
            <w:pPr>
              <w:pStyle w:val="23"/>
              <w:keepNext w:val="0"/>
              <w:keepLines w:val="0"/>
              <w:pageBreakBefore w:val="0"/>
              <w:kinsoku/>
              <w:wordWrap/>
              <w:overflowPunct/>
              <w:topLinePunct w:val="0"/>
              <w:autoSpaceDE/>
              <w:autoSpaceDN/>
              <w:bidi w:val="0"/>
              <w:adjustRightInd w:val="0"/>
              <w:snapToGrid/>
              <w:spacing w:before="0" w:after="0" w:line="360" w:lineRule="auto"/>
              <w:ind w:right="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项目由来</w:t>
            </w:r>
          </w:p>
          <w:p w14:paraId="57D258E7">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bookmarkStart w:id="67" w:name="_Hlk115806546"/>
            <w:bookmarkStart w:id="68" w:name="_Hlk116833067"/>
            <w:r>
              <w:rPr>
                <w:rFonts w:hint="eastAsia" w:cs="Times New Roman"/>
                <w:color w:val="auto"/>
                <w:kern w:val="0"/>
                <w:sz w:val="24"/>
                <w:szCs w:val="24"/>
                <w:highlight w:val="none"/>
                <w:lang w:val="en-US" w:eastAsia="zh-CN"/>
              </w:rPr>
              <w:t>2022年2月28日，禄劝万佳光伏发电有限公司取得</w:t>
            </w:r>
            <w:r>
              <w:rPr>
                <w:rFonts w:hint="default" w:ascii="Times New Roman" w:hAnsi="Times New Roman" w:eastAsia="宋体" w:cs="Times New Roman"/>
                <w:color w:val="auto"/>
                <w:sz w:val="24"/>
                <w:szCs w:val="24"/>
                <w:highlight w:val="none"/>
              </w:rPr>
              <w:t>中清能禄劝县岩子头200MW生态修复光伏电站项目</w:t>
            </w:r>
            <w:r>
              <w:rPr>
                <w:rFonts w:hint="eastAsia" w:cs="Times New Roman"/>
                <w:color w:val="auto"/>
                <w:sz w:val="24"/>
                <w:szCs w:val="24"/>
                <w:highlight w:val="none"/>
                <w:lang w:val="en-US" w:eastAsia="zh-CN"/>
              </w:rPr>
              <w:t>取得云南省固定资产投资项目备案证，该项目建设内容为：装机容量200MW，年平均发电量为28000万kW·h，运营期限25年，工程主要由光伏阵列、逆变器、箱式变压器、升压站、房屋建筑及输配电工程组成。取得备案证后，由于项目名称发生变更，</w:t>
            </w:r>
            <w:r>
              <w:rPr>
                <w:rFonts w:hint="eastAsia" w:cs="Times New Roman"/>
                <w:color w:val="auto"/>
                <w:kern w:val="0"/>
                <w:sz w:val="24"/>
                <w:szCs w:val="24"/>
                <w:highlight w:val="none"/>
                <w:lang w:val="en-US" w:eastAsia="zh-CN"/>
              </w:rPr>
              <w:t>禄劝万佳光伏发电有限公司于</w:t>
            </w:r>
            <w:r>
              <w:rPr>
                <w:rFonts w:hint="eastAsia" w:cs="Times New Roman"/>
                <w:color w:val="auto"/>
                <w:sz w:val="24"/>
                <w:szCs w:val="24"/>
                <w:highlight w:val="none"/>
                <w:lang w:val="en-US" w:eastAsia="zh-CN"/>
              </w:rPr>
              <w:t>2023年5月29日申请进行了备案证变更，变更后该项目名称由“</w:t>
            </w:r>
            <w:r>
              <w:rPr>
                <w:rFonts w:hint="default" w:ascii="Times New Roman" w:hAnsi="Times New Roman" w:eastAsia="宋体" w:cs="Times New Roman"/>
                <w:color w:val="auto"/>
                <w:sz w:val="24"/>
                <w:szCs w:val="24"/>
                <w:highlight w:val="none"/>
              </w:rPr>
              <w:t>中清能禄劝县岩子头200MW生态修复光伏电站项目</w:t>
            </w:r>
            <w:r>
              <w:rPr>
                <w:rFonts w:hint="eastAsia" w:cs="Times New Roman"/>
                <w:color w:val="auto"/>
                <w:sz w:val="24"/>
                <w:szCs w:val="24"/>
                <w:highlight w:val="none"/>
                <w:lang w:val="en-US" w:eastAsia="zh-CN"/>
              </w:rPr>
              <w:t>”变更为“岩子头生态修复光伏电站”，具体建设内容则不变。</w:t>
            </w:r>
            <w:r>
              <w:rPr>
                <w:rFonts w:hint="default" w:ascii="Times New Roman" w:hAnsi="Times New Roman" w:eastAsia="宋体" w:cs="Times New Roman"/>
                <w:color w:val="auto"/>
                <w:kern w:val="0"/>
                <w:sz w:val="24"/>
                <w:szCs w:val="24"/>
                <w:highlight w:val="none"/>
                <w:lang w:val="en-US" w:eastAsia="zh-CN"/>
              </w:rPr>
              <w:t>2023年6月，禄劝万佳光伏发电有限公司委托云南建环环保科技有限公司编制《</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》，并于2023年11月2日取得昆明市生态环境局禄劝分局关于《</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环境影响报告表的批复</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禄生环复〔2023〕17号</w:t>
            </w:r>
            <w:r>
              <w:rPr>
                <w:rFonts w:hint="default" w:ascii="Times New Roman" w:hAnsi="Times New Roman" w:eastAsia="宋体" w:cs="Times New Roman"/>
                <w:color w:val="auto"/>
                <w:kern w:val="0"/>
                <w:sz w:val="24"/>
                <w:szCs w:val="24"/>
                <w:highlight w:val="none"/>
                <w:lang w:val="en-US" w:eastAsia="zh-CN"/>
              </w:rPr>
              <w:t>）（详见附件8）；根据调查，</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已建设完工并于2024年6月投入试运行，</w:t>
            </w:r>
            <w:r>
              <w:rPr>
                <w:rFonts w:hint="default" w:ascii="Times New Roman" w:hAnsi="Times New Roman" w:eastAsia="宋体" w:cs="Times New Roman"/>
                <w:color w:val="auto"/>
                <w:kern w:val="0"/>
                <w:sz w:val="24"/>
                <w:szCs w:val="24"/>
                <w:highlight w:val="none"/>
                <w:lang w:val="en-US" w:eastAsia="zh-CN"/>
              </w:rPr>
              <w:t>目前</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正在开展中竣工环境保护验收工作</w:t>
            </w:r>
            <w:r>
              <w:rPr>
                <w:rFonts w:hint="default" w:ascii="Times New Roman" w:hAnsi="Times New Roman" w:eastAsia="宋体" w:cs="Times New Roman"/>
                <w:color w:val="auto"/>
                <w:kern w:val="0"/>
                <w:sz w:val="24"/>
                <w:szCs w:val="24"/>
                <w:highlight w:val="none"/>
                <w:lang w:val="en-US" w:eastAsia="zh-CN"/>
              </w:rPr>
              <w:t>。</w:t>
            </w:r>
          </w:p>
          <w:p w14:paraId="52A5BD2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》及昆明市生态环境局禄劝分局关于《</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环境影响报告表的批复</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禄生环复〔2023〕17号</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kern w:val="0"/>
                <w:sz w:val="24"/>
                <w:szCs w:val="24"/>
                <w:highlight w:val="none"/>
              </w:rPr>
              <w:t>主要由光伏阵列区</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农/林光互补方案</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kern w:val="0"/>
                <w:sz w:val="24"/>
                <w:szCs w:val="24"/>
                <w:highlight w:val="none"/>
              </w:rPr>
              <w:t>升压站</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除电磁辐射</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及相关配套设施等</w:t>
            </w:r>
            <w:r>
              <w:rPr>
                <w:rFonts w:hint="default" w:ascii="Times New Roman" w:hAnsi="Times New Roman" w:eastAsia="宋体" w:cs="Times New Roman"/>
                <w:color w:val="auto"/>
                <w:sz w:val="24"/>
                <w:szCs w:val="24"/>
                <w:highlight w:val="none"/>
              </w:rPr>
              <w:t>组成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kern w:val="0"/>
                <w:sz w:val="24"/>
                <w:szCs w:val="24"/>
                <w:highlight w:val="none"/>
              </w:rPr>
              <w:t>光伏阵列区</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农/林光互补方案</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kern w:val="0"/>
                <w:sz w:val="24"/>
                <w:szCs w:val="24"/>
                <w:highlight w:val="none"/>
              </w:rPr>
              <w:t>升压站</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除电磁辐射</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及相关配套设施均已在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》中进行评价，该报告表及其环评批复中明确指出：</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评价内容包含</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lang w:val="en-US" w:eastAsia="zh-CN"/>
              </w:rPr>
              <w:t>土建、主体工程及配套设施等相关内容，但升压站</w:t>
            </w:r>
            <w:r>
              <w:rPr>
                <w:rFonts w:hint="default" w:ascii="Times New Roman" w:hAnsi="Times New Roman" w:eastAsia="宋体" w:cs="Times New Roman"/>
                <w:color w:val="auto"/>
                <w:sz w:val="24"/>
                <w:szCs w:val="24"/>
                <w:highlight w:val="none"/>
              </w:rPr>
              <w:t>电磁辐射环评及输电线路</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单独进行评价。</w:t>
            </w:r>
          </w:p>
          <w:p w14:paraId="1ACEF82C">
            <w:p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根据调查，</w:t>
            </w:r>
            <w:r>
              <w:rPr>
                <w:rFonts w:hint="default" w:ascii="Times New Roman" w:hAnsi="Times New Roman" w:eastAsia="宋体" w:cs="Times New Roman"/>
                <w:color w:val="auto"/>
                <w:sz w:val="24"/>
                <w:szCs w:val="24"/>
                <w:highlight w:val="none"/>
              </w:rPr>
              <w:t>输电线路</w:t>
            </w:r>
            <w:r>
              <w:rPr>
                <w:rFonts w:hint="default" w:ascii="Times New Roman" w:hAnsi="Times New Roman" w:eastAsia="宋体" w:cs="Times New Roman"/>
                <w:color w:val="auto"/>
                <w:sz w:val="24"/>
                <w:szCs w:val="24"/>
                <w:highlight w:val="none"/>
                <w:lang w:val="en-US" w:eastAsia="zh-CN"/>
              </w:rPr>
              <w:t>部分工程（岩子头生态修复光伏电站220kV永久送出线路工程）已按要求办理相关环保手续，并</w:t>
            </w:r>
            <w:r>
              <w:rPr>
                <w:rFonts w:hint="eastAsia" w:cs="Times New Roman"/>
                <w:color w:val="auto"/>
                <w:sz w:val="24"/>
                <w:szCs w:val="24"/>
                <w:highlight w:val="none"/>
                <w:lang w:val="en-US" w:eastAsia="zh-CN"/>
              </w:rPr>
              <w:t>已取得环评批复。</w:t>
            </w:r>
          </w:p>
          <w:p w14:paraId="2837052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本次环境影响评价对象为</w:t>
            </w:r>
            <w:r>
              <w:rPr>
                <w:rFonts w:hint="eastAsia" w:cs="Times New Roman"/>
                <w:b w:val="0"/>
                <w:bCs w:val="0"/>
                <w:color w:val="auto"/>
                <w:kern w:val="0"/>
                <w:sz w:val="24"/>
                <w:szCs w:val="24"/>
                <w:highlight w:val="none"/>
                <w:lang w:val="en-US" w:eastAsia="zh-CN" w:bidi="ar-SA"/>
              </w:rPr>
              <w:t>220kV升压站</w:t>
            </w:r>
            <w:r>
              <w:rPr>
                <w:rFonts w:hint="default" w:ascii="Times New Roman" w:hAnsi="Times New Roman" w:eastAsia="宋体" w:cs="Times New Roman"/>
                <w:color w:val="auto"/>
                <w:sz w:val="24"/>
                <w:szCs w:val="24"/>
                <w:highlight w:val="none"/>
              </w:rPr>
              <w:t>电磁辐射</w:t>
            </w:r>
            <w:r>
              <w:rPr>
                <w:rFonts w:hint="eastAsia" w:cs="Times New Roman"/>
                <w:color w:val="auto"/>
                <w:sz w:val="24"/>
                <w:szCs w:val="24"/>
                <w:highlight w:val="none"/>
                <w:lang w:val="en-US" w:eastAsia="zh-CN"/>
              </w:rPr>
              <w:t>部分内容，即“岩子头生态修复光伏电站</w:t>
            </w:r>
            <w:r>
              <w:rPr>
                <w:rFonts w:hint="eastAsia" w:cs="Times New Roman"/>
                <w:b w:val="0"/>
                <w:bCs w:val="0"/>
                <w:color w:val="auto"/>
                <w:kern w:val="0"/>
                <w:sz w:val="24"/>
                <w:szCs w:val="24"/>
                <w:highlight w:val="none"/>
                <w:lang w:val="en-US" w:eastAsia="zh-CN" w:bidi="ar-SA"/>
              </w:rPr>
              <w:t>220kV升压站</w:t>
            </w:r>
            <w:r>
              <w:rPr>
                <w:rFonts w:hint="eastAsia" w:cs="Times New Roman"/>
                <w:color w:val="auto"/>
                <w:sz w:val="24"/>
                <w:szCs w:val="24"/>
                <w:highlight w:val="none"/>
                <w:lang w:val="en-US" w:eastAsia="zh-CN"/>
              </w:rPr>
              <w:t>”（以下称“本项目”）</w:t>
            </w:r>
            <w:r>
              <w:rPr>
                <w:rFonts w:hint="default" w:ascii="Times New Roman" w:hAnsi="Times New Roman" w:eastAsia="宋体" w:cs="Times New Roman"/>
                <w:color w:val="auto"/>
                <w:sz w:val="24"/>
                <w:szCs w:val="24"/>
                <w:highlight w:val="none"/>
              </w:rPr>
              <w:t>电磁辐射</w:t>
            </w:r>
            <w:r>
              <w:rPr>
                <w:rFonts w:hint="eastAsia" w:cs="Times New Roman"/>
                <w:color w:val="auto"/>
                <w:sz w:val="24"/>
                <w:szCs w:val="24"/>
                <w:highlight w:val="none"/>
                <w:lang w:val="en-US" w:eastAsia="zh-CN"/>
              </w:rPr>
              <w:t>部分内容，岩子头生态修复光伏电站</w:t>
            </w:r>
            <w:r>
              <w:rPr>
                <w:rFonts w:hint="eastAsia" w:cs="Times New Roman"/>
                <w:b w:val="0"/>
                <w:bCs w:val="0"/>
                <w:color w:val="auto"/>
                <w:kern w:val="0"/>
                <w:sz w:val="24"/>
                <w:szCs w:val="24"/>
                <w:highlight w:val="none"/>
                <w:lang w:val="en-US" w:eastAsia="zh-CN" w:bidi="ar-SA"/>
              </w:rPr>
              <w:t>220kV升压站</w:t>
            </w:r>
            <w:r>
              <w:rPr>
                <w:rFonts w:hint="default" w:ascii="Times New Roman" w:hAnsi="Times New Roman" w:eastAsia="宋体" w:cs="Times New Roman"/>
                <w:color w:val="auto"/>
                <w:sz w:val="24"/>
                <w:highlight w:val="none"/>
                <w:lang w:val="en-US" w:eastAsia="zh-CN"/>
              </w:rPr>
              <w:t>位于昆明市禄劝县团街镇境内，由禄劝万佳光伏发电有限公司投资建设，</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由于220kV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lang w:val="en-US" w:eastAsia="zh-CN"/>
              </w:rPr>
              <w:t>，以及升压站建设期和运营期“三废”、噪声、生态环境影响及环境风险分析等相关内容均已在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》中进行评价，故本次不再重复进行评价，仅根据已批复《</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》及本次环评期间现状监测结果简单列出结论。</w:t>
            </w:r>
          </w:p>
          <w:p w14:paraId="7AA20C1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2"/>
                <w:highlight w:val="none"/>
                <w:lang w:val="en-US" w:eastAsia="zh-CN"/>
              </w:rPr>
              <w:t>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已于2023年11月开工建设，于2024年3月建设完工，于2024年6月投入试运行。</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sz w:val="24"/>
                <w:highlight w:val="none"/>
                <w:lang w:val="en-US" w:eastAsia="zh-CN"/>
              </w:rPr>
              <w:t>升压站占地面积</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项目已建主要建设内容主要包括：综合楼、附属用房、电气预制舱、1台</w:t>
            </w:r>
            <w:r>
              <w:rPr>
                <w:rFonts w:hint="default" w:ascii="Times New Roman" w:hAnsi="Times New Roman" w:eastAsia="宋体" w:cs="Times New Roman"/>
                <w:snapToGrid w:val="0"/>
                <w:color w:val="auto"/>
                <w:kern w:val="0"/>
                <w:sz w:val="24"/>
                <w:szCs w:val="24"/>
                <w:highlight w:val="none"/>
                <w:lang w:val="en-US" w:eastAsia="zh-CN" w:bidi="ar-SA"/>
              </w:rPr>
              <w:t>200MVA</w:t>
            </w:r>
            <w:r>
              <w:rPr>
                <w:rFonts w:hint="default" w:ascii="Times New Roman" w:hAnsi="Times New Roman" w:eastAsia="宋体" w:cs="Times New Roman"/>
                <w:color w:val="auto"/>
                <w:sz w:val="24"/>
                <w:szCs w:val="24"/>
                <w:highlight w:val="none"/>
                <w:vertAlign w:val="baseline"/>
                <w:lang w:val="en-US" w:eastAsia="zh-CN"/>
              </w:rPr>
              <w:t>主变压器、GIS及出线构架、SVG户外成套装置及相关配套设施。因此，</w:t>
            </w:r>
            <w:r>
              <w:rPr>
                <w:rFonts w:hint="default" w:ascii="Times New Roman" w:hAnsi="Times New Roman" w:eastAsia="宋体" w:cs="Times New Roman"/>
                <w:snapToGrid w:val="0"/>
                <w:color w:val="auto"/>
                <w:kern w:val="0"/>
                <w:sz w:val="24"/>
                <w:szCs w:val="24"/>
                <w:highlight w:val="none"/>
                <w:lang w:val="en-US" w:eastAsia="zh-CN" w:bidi="ar-SA"/>
              </w:rPr>
              <w:t>本次环境影响评价内容为升压站已建1台200MVA主变压器及相关设施运行所产生电磁辐射相关内容。</w:t>
            </w:r>
          </w:p>
          <w:p w14:paraId="5FD84AB4">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根据《中华人民共和国环境保护法》《中华人民共和国环境影响评价法》等法律法规的要求，该项目需编制环境影响评价文件。2024年</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禄劝万佳光伏发电有限公司</w:t>
            </w:r>
            <w:r>
              <w:rPr>
                <w:rFonts w:hint="default" w:ascii="Times New Roman" w:hAnsi="Times New Roman" w:eastAsia="宋体" w:cs="Times New Roman"/>
                <w:color w:val="auto"/>
                <w:sz w:val="24"/>
                <w:highlight w:val="none"/>
                <w:lang w:eastAsia="zh-CN"/>
              </w:rPr>
              <w:t>委托云南境清环保咨询有限公司进行报告编制工作，我单位接受委托后，通过现场踏勘、资料收集，按照环境影响评价技术导则的要求，根据项目的污染因子、污染特征及程度，按照《建设项目环境影响评价分类管理名录（2021年版）</w:t>
            </w:r>
            <w:r>
              <w:rPr>
                <w:rFonts w:hint="default" w:ascii="Times New Roman" w:hAnsi="Times New Roman" w:eastAsia="宋体" w:cs="Times New Roman"/>
                <w:b w:val="0"/>
                <w:bCs w:val="0"/>
                <w:color w:val="auto"/>
                <w:sz w:val="24"/>
                <w:highlight w:val="none"/>
                <w:lang w:eastAsia="zh-CN"/>
              </w:rPr>
              <w:t>》（生态环境部部令第16号，2021年01月01日实施）、</w:t>
            </w:r>
            <w:r>
              <w:rPr>
                <w:rFonts w:hint="default" w:ascii="Times New Roman" w:hAnsi="Times New Roman" w:eastAsia="宋体" w:cs="Times New Roman"/>
                <w:b w:val="0"/>
                <w:bCs w:val="0"/>
                <w:color w:val="auto"/>
                <w:spacing w:val="-6"/>
                <w:sz w:val="24"/>
                <w:highlight w:val="none"/>
              </w:rPr>
              <w:t>《输变电建设项目环境保护技术要求》（HJ1113-2020）</w:t>
            </w:r>
            <w:r>
              <w:rPr>
                <w:rFonts w:hint="default" w:ascii="Times New Roman" w:hAnsi="Times New Roman" w:eastAsia="宋体" w:cs="Times New Roman"/>
                <w:b w:val="0"/>
                <w:bCs w:val="0"/>
                <w:color w:val="auto"/>
                <w:sz w:val="24"/>
                <w:highlight w:val="none"/>
                <w:lang w:eastAsia="zh-CN"/>
              </w:rPr>
              <w:t>的要求，编制《</w:t>
            </w:r>
            <w:r>
              <w:rPr>
                <w:rFonts w:hint="eastAsia" w:cs="Times New Roman"/>
                <w:b w:val="0"/>
                <w:bCs w:val="0"/>
                <w:color w:val="auto"/>
                <w:sz w:val="24"/>
                <w:highlight w:val="none"/>
                <w:lang w:val="en-US" w:eastAsia="zh-CN"/>
              </w:rPr>
              <w:t>岩子头生态修复光伏电站220kV升压站</w:t>
            </w:r>
            <w:r>
              <w:rPr>
                <w:rFonts w:hint="default" w:ascii="Times New Roman" w:hAnsi="Times New Roman" w:eastAsia="宋体" w:cs="Times New Roman"/>
                <w:color w:val="auto"/>
                <w:sz w:val="24"/>
                <w:highlight w:val="none"/>
                <w:lang w:eastAsia="zh-CN"/>
              </w:rPr>
              <w:t>环境影响报告表》，供建设单位上报审批。</w:t>
            </w:r>
          </w:p>
          <w:p w14:paraId="04B9EC56">
            <w:pPr>
              <w:spacing w:line="360" w:lineRule="auto"/>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编制环境影响评价文件类别</w:t>
            </w:r>
            <w:r>
              <w:rPr>
                <w:rFonts w:hint="default" w:ascii="Times New Roman" w:hAnsi="Times New Roman" w:eastAsia="宋体" w:cs="Times New Roman"/>
                <w:b/>
                <w:bCs/>
                <w:color w:val="auto"/>
                <w:sz w:val="24"/>
                <w:highlight w:val="none"/>
                <w:lang w:val="en-US" w:eastAsia="zh-CN"/>
              </w:rPr>
              <w:t>判定</w:t>
            </w:r>
          </w:p>
          <w:p w14:paraId="0A1968CD">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中华人民共和国环境保护法》（2015年01月01日施行）、《中华人民共和国环境影响评价法》（2018年12月29日施行）、《建设项目环境保护管理条列》（中华人民共和国国务院令第682号，2017年10月1日施行）等相关法律法规要求，建设单位须对该项目进行环境影响评价，编制环境影响评价文件。</w:t>
            </w:r>
          </w:p>
          <w:p w14:paraId="4C17A30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根据《建设项目环境影响评价分类管理名录（2021年版）》（生态环境部部令第16号，2021年01月01日实施），</w:t>
            </w:r>
            <w:r>
              <w:rPr>
                <w:rFonts w:hint="eastAsia" w:cs="Times New Roman"/>
                <w:color w:val="auto"/>
                <w:sz w:val="24"/>
                <w:highlight w:val="none"/>
                <w:lang w:val="en-US" w:eastAsia="zh-CN"/>
              </w:rPr>
              <w:t>岩子头生态修复光伏电站220kV升压站</w:t>
            </w:r>
            <w:r>
              <w:rPr>
                <w:rFonts w:hint="default" w:ascii="Times New Roman" w:hAnsi="Times New Roman" w:eastAsia="宋体" w:cs="Times New Roman"/>
                <w:color w:val="auto"/>
                <w:sz w:val="24"/>
                <w:highlight w:val="none"/>
                <w:lang w:eastAsia="zh-CN"/>
              </w:rPr>
              <w:t>属于“五十五、核与辐射</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161输变电工程”</w:t>
            </w:r>
            <w:r>
              <w:rPr>
                <w:rFonts w:hint="default" w:ascii="Times New Roman" w:hAnsi="Times New Roman" w:eastAsia="宋体" w:cs="Times New Roman"/>
                <w:color w:val="auto"/>
                <w:sz w:val="24"/>
                <w:highlight w:val="none"/>
                <w:lang w:val="en-US" w:eastAsia="zh-CN"/>
              </w:rPr>
              <w:t>中的</w:t>
            </w:r>
            <w:r>
              <w:rPr>
                <w:rFonts w:hint="default" w:ascii="Times New Roman" w:hAnsi="Times New Roman" w:eastAsia="宋体" w:cs="Times New Roman"/>
                <w:color w:val="auto"/>
                <w:sz w:val="24"/>
                <w:highlight w:val="none"/>
                <w:lang w:eastAsia="zh-CN"/>
              </w:rPr>
              <w:t>“其他（100千伏以下除外）”，应当编制环境影响报告表。</w:t>
            </w:r>
            <w:r>
              <w:rPr>
                <w:rFonts w:hint="default" w:ascii="Times New Roman" w:hAnsi="Times New Roman" w:eastAsia="宋体" w:cs="Times New Roman"/>
                <w:color w:val="auto"/>
                <w:sz w:val="24"/>
                <w:highlight w:val="none"/>
                <w:lang w:val="en-US" w:eastAsia="zh-CN"/>
              </w:rPr>
              <w:t>详细判定情况见下表所示。</w:t>
            </w:r>
          </w:p>
          <w:p w14:paraId="2346A642">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表2-1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建设项目环境影响评价分类管理名录</w:t>
            </w:r>
          </w:p>
          <w:tbl>
            <w:tblPr>
              <w:tblStyle w:val="49"/>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567"/>
              <w:gridCol w:w="2766"/>
              <w:gridCol w:w="1657"/>
              <w:gridCol w:w="1527"/>
            </w:tblGrid>
            <w:tr w14:paraId="756A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188" w:type="dxa"/>
                  <w:gridSpan w:val="2"/>
                  <w:tcBorders>
                    <w:tl2br w:val="single" w:color="auto" w:sz="4" w:space="0"/>
                  </w:tcBorders>
                  <w:noWrap w:val="0"/>
                  <w:vAlign w:val="center"/>
                </w:tcPr>
                <w:p w14:paraId="1D370AC7">
                  <w:pPr>
                    <w:keepNext w:val="0"/>
                    <w:keepLines w:val="0"/>
                    <w:pageBreakBefore w:val="0"/>
                    <w:widowControl w:val="0"/>
                    <w:kinsoku/>
                    <w:wordWrap/>
                    <w:overflowPunct/>
                    <w:topLinePunct w:val="0"/>
                    <w:autoSpaceDE/>
                    <w:autoSpaceDN/>
                    <w:bidi w:val="0"/>
                    <w:adjustRightInd/>
                    <w:snapToGrid/>
                    <w:spacing w:line="240" w:lineRule="auto"/>
                    <w:ind w:firstLine="1054" w:firstLineChars="5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环评类别</w:t>
                  </w:r>
                </w:p>
                <w:p w14:paraId="5E43178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项目类别</w:t>
                  </w:r>
                </w:p>
              </w:tc>
              <w:tc>
                <w:tcPr>
                  <w:tcW w:w="2766" w:type="dxa"/>
                  <w:noWrap w:val="0"/>
                  <w:vAlign w:val="center"/>
                </w:tcPr>
                <w:p w14:paraId="4F503B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报告书</w:t>
                  </w:r>
                </w:p>
              </w:tc>
              <w:tc>
                <w:tcPr>
                  <w:tcW w:w="1657" w:type="dxa"/>
                  <w:noWrap w:val="0"/>
                  <w:vAlign w:val="center"/>
                </w:tcPr>
                <w:p w14:paraId="501C28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报告表</w:t>
                  </w:r>
                </w:p>
              </w:tc>
              <w:tc>
                <w:tcPr>
                  <w:tcW w:w="1527" w:type="dxa"/>
                  <w:noWrap w:val="0"/>
                  <w:vAlign w:val="center"/>
                </w:tcPr>
                <w:p w14:paraId="4266F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登记表</w:t>
                  </w:r>
                </w:p>
              </w:tc>
            </w:tr>
            <w:tr w14:paraId="4469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138" w:type="dxa"/>
                  <w:gridSpan w:val="5"/>
                  <w:noWrap w:val="0"/>
                  <w:vAlign w:val="center"/>
                </w:tcPr>
                <w:p w14:paraId="68B775E3">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五十、核与辐射</w:t>
                  </w:r>
                </w:p>
              </w:tc>
            </w:tr>
            <w:tr w14:paraId="75A2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21" w:type="dxa"/>
                  <w:noWrap w:val="0"/>
                  <w:vAlign w:val="center"/>
                </w:tcPr>
                <w:p w14:paraId="12ED5B9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161</w:t>
                  </w:r>
                </w:p>
              </w:tc>
              <w:tc>
                <w:tcPr>
                  <w:tcW w:w="1567" w:type="dxa"/>
                  <w:noWrap w:val="0"/>
                  <w:vAlign w:val="center"/>
                </w:tcPr>
                <w:p w14:paraId="5F26F8BA">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输变电工程</w:t>
                  </w:r>
                </w:p>
              </w:tc>
              <w:tc>
                <w:tcPr>
                  <w:tcW w:w="2766" w:type="dxa"/>
                  <w:noWrap w:val="0"/>
                  <w:vAlign w:val="center"/>
                </w:tcPr>
                <w:p w14:paraId="5FA08E6E">
                  <w:pPr>
                    <w:keepNext w:val="0"/>
                    <w:keepLines w:val="0"/>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500千伏及以上；涉及环境敏感区的330千伏及以上</w:t>
                  </w:r>
                </w:p>
              </w:tc>
              <w:tc>
                <w:tcPr>
                  <w:tcW w:w="1657" w:type="dxa"/>
                  <w:noWrap w:val="0"/>
                  <w:vAlign w:val="center"/>
                </w:tcPr>
                <w:p w14:paraId="753DC83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其他（100千伏以下除外）</w:t>
                  </w:r>
                </w:p>
              </w:tc>
              <w:tc>
                <w:tcPr>
                  <w:tcW w:w="1527" w:type="dxa"/>
                  <w:noWrap w:val="0"/>
                  <w:vAlign w:val="center"/>
                </w:tcPr>
                <w:p w14:paraId="2272AE09">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29EA44F2">
            <w:pPr>
              <w:pStyle w:val="23"/>
              <w:keepNext w:val="0"/>
              <w:keepLines w:val="0"/>
              <w:pageBreakBefore w:val="0"/>
              <w:widowControl/>
              <w:kinsoku/>
              <w:wordWrap/>
              <w:overflowPunct/>
              <w:topLinePunct w:val="0"/>
              <w:autoSpaceDE/>
              <w:autoSpaceDN/>
              <w:bidi w:val="0"/>
              <w:adjustRightInd/>
              <w:snapToGrid/>
              <w:spacing w:before="0" w:after="0" w:line="360" w:lineRule="auto"/>
              <w:ind w:right="0"/>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3、项目概况</w:t>
            </w:r>
          </w:p>
          <w:p w14:paraId="0A5FD134">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项目名称：</w:t>
            </w:r>
            <w:r>
              <w:rPr>
                <w:rFonts w:hint="eastAsia" w:cs="Times New Roman"/>
                <w:b w:val="0"/>
                <w:bCs w:val="0"/>
                <w:color w:val="auto"/>
                <w:kern w:val="2"/>
                <w:sz w:val="24"/>
                <w:szCs w:val="24"/>
                <w:highlight w:val="none"/>
                <w:lang w:val="en-US" w:eastAsia="zh-CN" w:bidi="ar-SA"/>
              </w:rPr>
              <w:t>岩子头生态修复光伏电站220kV升压站</w:t>
            </w:r>
          </w:p>
          <w:p w14:paraId="588B111B">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建设地点：</w:t>
            </w:r>
            <w:r>
              <w:rPr>
                <w:rFonts w:hint="default" w:ascii="Times New Roman" w:hAnsi="Times New Roman" w:eastAsia="宋体" w:cs="Times New Roman"/>
                <w:b w:val="0"/>
                <w:bCs w:val="0"/>
                <w:color w:val="auto"/>
                <w:kern w:val="2"/>
                <w:sz w:val="24"/>
                <w:szCs w:val="24"/>
                <w:highlight w:val="none"/>
                <w:lang w:val="en-US" w:eastAsia="zh-CN" w:bidi="ar-SA"/>
              </w:rPr>
              <w:t>昆明市禄劝县团街镇境内</w:t>
            </w:r>
          </w:p>
          <w:p w14:paraId="3109BF90">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建设单位：</w:t>
            </w:r>
            <w:r>
              <w:rPr>
                <w:rFonts w:hint="default" w:ascii="Times New Roman" w:hAnsi="Times New Roman" w:eastAsia="宋体" w:cs="Times New Roman"/>
                <w:b w:val="0"/>
                <w:bCs w:val="0"/>
                <w:color w:val="auto"/>
                <w:kern w:val="0"/>
                <w:sz w:val="24"/>
                <w:szCs w:val="24"/>
                <w:highlight w:val="none"/>
                <w:lang w:val="en-US" w:eastAsia="zh-CN" w:bidi="ar-SA"/>
              </w:rPr>
              <w:t>禄劝万佳光伏发电有限公司</w:t>
            </w:r>
          </w:p>
          <w:p w14:paraId="044BDFE5">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建设性质：新建</w:t>
            </w:r>
          </w:p>
          <w:p w14:paraId="094BE7CD">
            <w:pPr>
              <w:pStyle w:val="301"/>
              <w:keepNext w:val="0"/>
              <w:keepLines w:val="0"/>
              <w:pageBreakBefore w:val="0"/>
              <w:widowControl w:val="0"/>
              <w:tabs>
                <w:tab w:val="left" w:pos="3150"/>
              </w:tabs>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总投资：</w:t>
            </w:r>
            <w:r>
              <w:rPr>
                <w:rFonts w:hint="default" w:ascii="Times New Roman" w:hAnsi="Times New Roman" w:eastAsia="宋体" w:cs="Times New Roman"/>
                <w:color w:val="auto"/>
                <w:sz w:val="24"/>
                <w:szCs w:val="24"/>
                <w:highlight w:val="none"/>
                <w:lang w:val="en-US" w:eastAsia="zh-CN"/>
              </w:rPr>
              <w:t>1379</w:t>
            </w:r>
            <w:r>
              <w:rPr>
                <w:rFonts w:hint="default" w:ascii="Times New Roman" w:hAnsi="Times New Roman" w:eastAsia="宋体" w:cs="Times New Roman"/>
                <w:b w:val="0"/>
                <w:bCs w:val="0"/>
                <w:snapToGrid w:val="0"/>
                <w:color w:val="auto"/>
                <w:kern w:val="0"/>
                <w:sz w:val="24"/>
                <w:szCs w:val="24"/>
                <w:highlight w:val="none"/>
                <w:lang w:val="en-US" w:eastAsia="zh-CN" w:bidi="ar-SA"/>
              </w:rPr>
              <w:t>万元</w:t>
            </w:r>
          </w:p>
          <w:p w14:paraId="2F3E27A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建设内容及规模：本项目</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，且220kV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lang w:val="en-US" w:eastAsia="zh-CN"/>
              </w:rPr>
              <w:t>，以及升压站建设期和运营期“三废”、噪声、生态环境及环境风险影响等内容均已在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》中进行评价，故本次不再重复进行评价，仅根据已批复《</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》及本次环评期间现状监测结果进行简单叙述。</w:t>
            </w:r>
            <w:r>
              <w:rPr>
                <w:rFonts w:hint="default" w:ascii="Times New Roman" w:hAnsi="Times New Roman" w:eastAsia="宋体" w:cs="Times New Roman"/>
                <w:color w:val="auto"/>
                <w:sz w:val="24"/>
                <w:szCs w:val="22"/>
                <w:highlight w:val="none"/>
                <w:lang w:val="en-US" w:eastAsia="zh-CN"/>
              </w:rPr>
              <w:t>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已于2023年11月开工建设，于2024年3月建设完工，于2024年6月投入试运行。</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sz w:val="24"/>
                <w:highlight w:val="none"/>
                <w:lang w:val="en-US" w:eastAsia="zh-CN"/>
              </w:rPr>
              <w:t>升压站总占地面积</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不含进场道路</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项目已建主要建设内容主要包括：综合楼、附属用房、电气预制舱、1台</w:t>
            </w:r>
            <w:r>
              <w:rPr>
                <w:rFonts w:hint="default" w:ascii="Times New Roman" w:hAnsi="Times New Roman" w:eastAsia="宋体" w:cs="Times New Roman"/>
                <w:snapToGrid w:val="0"/>
                <w:color w:val="auto"/>
                <w:kern w:val="0"/>
                <w:sz w:val="24"/>
                <w:szCs w:val="24"/>
                <w:highlight w:val="none"/>
                <w:lang w:val="en-US" w:eastAsia="zh-CN" w:bidi="ar-SA"/>
              </w:rPr>
              <w:t>200MVA</w:t>
            </w:r>
            <w:r>
              <w:rPr>
                <w:rFonts w:hint="default" w:ascii="Times New Roman" w:hAnsi="Times New Roman" w:eastAsia="宋体" w:cs="Times New Roman"/>
                <w:color w:val="auto"/>
                <w:sz w:val="24"/>
                <w:szCs w:val="24"/>
                <w:highlight w:val="none"/>
                <w:vertAlign w:val="baseline"/>
                <w:lang w:val="en-US" w:eastAsia="zh-CN"/>
              </w:rPr>
              <w:t>主变压器、GIS及出线构架、SVG户外成套装置及相关配套设施</w:t>
            </w:r>
            <w:r>
              <w:rPr>
                <w:rFonts w:hint="default" w:ascii="Times New Roman" w:hAnsi="Times New Roman" w:eastAsia="宋体" w:cs="Times New Roman"/>
                <w:snapToGrid w:val="0"/>
                <w:color w:val="auto"/>
                <w:kern w:val="0"/>
                <w:sz w:val="24"/>
                <w:szCs w:val="24"/>
                <w:highlight w:val="none"/>
                <w:lang w:val="en-US" w:eastAsia="zh-CN" w:bidi="ar-SA"/>
              </w:rPr>
              <w:t>，即本次评价内容为升压站已建1台200MVA主变压器及相关设施运行所产生的电磁辐射相关内容。</w:t>
            </w:r>
          </w:p>
          <w:p w14:paraId="40397269">
            <w:pPr>
              <w:pStyle w:val="23"/>
              <w:keepNext w:val="0"/>
              <w:keepLines w:val="0"/>
              <w:pageBreakBefore w:val="0"/>
              <w:kinsoku/>
              <w:wordWrap/>
              <w:overflowPunct/>
              <w:topLinePunct w:val="0"/>
              <w:autoSpaceDE/>
              <w:autoSpaceDN/>
              <w:bidi w:val="0"/>
              <w:adjustRightInd w:val="0"/>
              <w:snapToGrid/>
              <w:spacing w:before="0" w:after="0" w:line="360" w:lineRule="auto"/>
              <w:ind w:right="0" w:firstLine="480" w:firstLineChars="200"/>
              <w:jc w:val="left"/>
              <w:textAlignment w:val="auto"/>
              <w:outlineLvl w:val="9"/>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根据现场调查，升压站已建建设内容见表</w:t>
            </w:r>
            <w:bookmarkEnd w:id="67"/>
            <w:r>
              <w:rPr>
                <w:rFonts w:hint="default" w:ascii="Times New Roman" w:hAnsi="Times New Roman" w:eastAsia="宋体" w:cs="Times New Roman"/>
                <w:b w:val="0"/>
                <w:bCs w:val="0"/>
                <w:color w:val="auto"/>
                <w:kern w:val="0"/>
                <w:sz w:val="24"/>
                <w:szCs w:val="24"/>
                <w:highlight w:val="none"/>
                <w:lang w:val="en-US" w:eastAsia="zh-CN" w:bidi="ar-SA"/>
              </w:rPr>
              <w:t>2-1。</w:t>
            </w:r>
            <w:bookmarkEnd w:id="68"/>
            <w:bookmarkStart w:id="69" w:name="_Hlk115806573"/>
          </w:p>
          <w:p w14:paraId="03391125">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表2-</w:t>
            </w:r>
            <w:r>
              <w:rPr>
                <w:rFonts w:hint="default" w:ascii="Times New Roman" w:hAnsi="Times New Roman" w:eastAsia="宋体" w:cs="Times New Roman"/>
                <w:b/>
                <w:bCs/>
                <w:color w:val="auto"/>
                <w:sz w:val="24"/>
                <w:szCs w:val="24"/>
                <w:highlight w:val="none"/>
                <w:lang w:val="en-US" w:eastAsia="zh-CN"/>
              </w:rPr>
              <w:t>2  升压站已建建设内容</w:t>
            </w:r>
            <w:r>
              <w:rPr>
                <w:rFonts w:hint="default" w:ascii="Times New Roman" w:hAnsi="Times New Roman" w:eastAsia="宋体" w:cs="Times New Roman"/>
                <w:b/>
                <w:bCs/>
                <w:color w:val="auto"/>
                <w:sz w:val="24"/>
                <w:szCs w:val="24"/>
                <w:highlight w:val="none"/>
              </w:rPr>
              <w:t>一览表</w:t>
            </w:r>
          </w:p>
          <w:bookmarkEnd w:id="69"/>
          <w:tbl>
            <w:tblPr>
              <w:tblStyle w:val="50"/>
              <w:tblW w:w="8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85"/>
              <w:gridCol w:w="370"/>
              <w:gridCol w:w="907"/>
              <w:gridCol w:w="5268"/>
              <w:gridCol w:w="1114"/>
            </w:tblGrid>
            <w:tr w14:paraId="6BFB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8" w:hRule="atLeast"/>
                <w:jc w:val="center"/>
              </w:trPr>
              <w:tc>
                <w:tcPr>
                  <w:tcW w:w="297" w:type="pct"/>
                  <w:vAlign w:val="center"/>
                </w:tcPr>
                <w:p w14:paraId="19237D27">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lang w:val="en-US" w:eastAsia="zh-CN"/>
                    </w:rPr>
                  </w:pPr>
                  <w:bookmarkStart w:id="70" w:name="_Hlk116833081"/>
                  <w:r>
                    <w:rPr>
                      <w:rFonts w:hint="default" w:ascii="Times New Roman" w:hAnsi="Times New Roman" w:eastAsia="宋体" w:cs="Times New Roman"/>
                      <w:b/>
                      <w:bCs/>
                      <w:color w:val="auto"/>
                      <w:kern w:val="0"/>
                      <w:sz w:val="21"/>
                      <w:szCs w:val="21"/>
                      <w:highlight w:val="none"/>
                      <w:lang w:val="en-US" w:eastAsia="zh-CN"/>
                    </w:rPr>
                    <w:t>工程</w:t>
                  </w:r>
                </w:p>
                <w:p w14:paraId="681715E5">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类型</w:t>
                  </w:r>
                </w:p>
              </w:tc>
              <w:tc>
                <w:tcPr>
                  <w:tcW w:w="784" w:type="pct"/>
                  <w:gridSpan w:val="2"/>
                  <w:vAlign w:val="center"/>
                </w:tcPr>
                <w:p w14:paraId="2047699F">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单项</w:t>
                  </w:r>
                  <w:r>
                    <w:rPr>
                      <w:rFonts w:hint="default" w:ascii="Times New Roman" w:hAnsi="Times New Roman" w:eastAsia="宋体" w:cs="Times New Roman"/>
                      <w:b/>
                      <w:bCs/>
                      <w:color w:val="auto"/>
                      <w:kern w:val="0"/>
                      <w:sz w:val="21"/>
                      <w:szCs w:val="21"/>
                      <w:highlight w:val="none"/>
                    </w:rPr>
                    <w:t>工</w:t>
                  </w:r>
                </w:p>
                <w:p w14:paraId="55201BC6">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程名称</w:t>
                  </w:r>
                </w:p>
              </w:tc>
              <w:tc>
                <w:tcPr>
                  <w:tcW w:w="3234" w:type="pct"/>
                  <w:vAlign w:val="center"/>
                </w:tcPr>
                <w:p w14:paraId="7733B133">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建设内容及规模</w:t>
                  </w:r>
                </w:p>
              </w:tc>
              <w:tc>
                <w:tcPr>
                  <w:tcW w:w="683" w:type="pct"/>
                  <w:vAlign w:val="center"/>
                </w:tcPr>
                <w:p w14:paraId="26DF2C9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备注</w:t>
                  </w:r>
                </w:p>
              </w:tc>
            </w:tr>
            <w:tr w14:paraId="458D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8" w:hRule="atLeast"/>
                <w:jc w:val="center"/>
              </w:trPr>
              <w:tc>
                <w:tcPr>
                  <w:tcW w:w="297" w:type="pct"/>
                  <w:vAlign w:val="center"/>
                </w:tcPr>
                <w:p w14:paraId="0811003B">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主体工程</w:t>
                  </w:r>
                </w:p>
              </w:tc>
              <w:tc>
                <w:tcPr>
                  <w:tcW w:w="784" w:type="pct"/>
                  <w:gridSpan w:val="2"/>
                  <w:vAlign w:val="center"/>
                </w:tcPr>
                <w:p w14:paraId="456438B6">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220kV升压站</w:t>
                  </w:r>
                </w:p>
              </w:tc>
              <w:tc>
                <w:tcPr>
                  <w:tcW w:w="3234" w:type="pct"/>
                  <w:vAlign w:val="center"/>
                </w:tcPr>
                <w:p w14:paraId="2C2B0109">
                  <w:pPr>
                    <w:keepNext w:val="0"/>
                    <w:keepLines w:val="0"/>
                    <w:pageBreakBefore w:val="0"/>
                    <w:widowControl w:val="0"/>
                    <w:numPr>
                      <w:ilvl w:val="0"/>
                      <w:numId w:val="0"/>
                    </w:numPr>
                    <w:kinsoku/>
                    <w:wordWrap/>
                    <w:overflowPunct/>
                    <w:topLinePunct w:val="0"/>
                    <w:autoSpaceDE/>
                    <w:autoSpaceDN/>
                    <w:bidi w:val="0"/>
                    <w:adjustRightInd/>
                    <w:snapToGrid/>
                    <w:spacing w:line="296" w:lineRule="auto"/>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设220kV升压站1座，已建1台主变容量为1×200MVA</w:t>
                  </w:r>
                  <w:r>
                    <w:rPr>
                      <w:rFonts w:hint="default" w:ascii="Times New Roman" w:hAnsi="Times New Roman" w:eastAsia="宋体" w:cs="Times New Roman"/>
                      <w:snapToGrid w:val="0"/>
                      <w:color w:val="auto"/>
                      <w:kern w:val="0"/>
                      <w:sz w:val="21"/>
                      <w:szCs w:val="21"/>
                      <w:highlight w:val="none"/>
                      <w:lang w:val="en-US" w:eastAsia="zh-CN" w:bidi="ar-SA"/>
                    </w:rPr>
                    <w:t>油浸三相双绕组有载调压风冷升压主变压器</w:t>
                  </w:r>
                  <w:r>
                    <w:rPr>
                      <w:rFonts w:hint="default" w:ascii="Times New Roman" w:hAnsi="Times New Roman" w:eastAsia="宋体" w:cs="Times New Roman"/>
                      <w:snapToGrid w:val="0"/>
                      <w:color w:val="auto"/>
                      <w:kern w:val="0"/>
                      <w:sz w:val="21"/>
                      <w:szCs w:val="21"/>
                      <w:highlight w:val="none"/>
                      <w:lang w:val="en-US" w:eastAsia="zh-CN"/>
                    </w:rPr>
                    <w:t>，主变采用户外布置方式；</w:t>
                  </w:r>
                </w:p>
                <w:p w14:paraId="117EF3C7">
                  <w:pPr>
                    <w:keepNext w:val="0"/>
                    <w:keepLines w:val="0"/>
                    <w:pageBreakBefore w:val="0"/>
                    <w:widowControl w:val="0"/>
                    <w:numPr>
                      <w:ilvl w:val="0"/>
                      <w:numId w:val="0"/>
                    </w:numPr>
                    <w:kinsoku/>
                    <w:wordWrap/>
                    <w:overflowPunct/>
                    <w:topLinePunct w:val="0"/>
                    <w:autoSpaceDE/>
                    <w:autoSpaceDN/>
                    <w:bidi w:val="0"/>
                    <w:adjustRightInd/>
                    <w:snapToGrid/>
                    <w:spacing w:line="296" w:lineRule="auto"/>
                    <w:jc w:val="left"/>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220kV采用单母线接线，2回</w:t>
                  </w:r>
                  <w:bookmarkStart w:id="71" w:name="OLE_LINK179"/>
                  <w:r>
                    <w:rPr>
                      <w:rFonts w:hint="default" w:ascii="Times New Roman" w:hAnsi="Times New Roman" w:eastAsia="宋体" w:cs="Times New Roman"/>
                      <w:snapToGrid w:val="0"/>
                      <w:color w:val="auto"/>
                      <w:kern w:val="0"/>
                      <w:sz w:val="21"/>
                      <w:szCs w:val="21"/>
                      <w:highlight w:val="none"/>
                      <w:lang w:val="en-US" w:eastAsia="zh-CN"/>
                    </w:rPr>
                    <w:t>出线（其中已建1回220kV线路接至220kV三朵开关站</w:t>
                  </w:r>
                  <w:r>
                    <w:rPr>
                      <w:rFonts w:hint="eastAsia" w:cs="Times New Roman"/>
                      <w:snapToGrid w:val="0"/>
                      <w:color w:val="auto"/>
                      <w:kern w:val="0"/>
                      <w:sz w:val="21"/>
                      <w:szCs w:val="21"/>
                      <w:highlight w:val="none"/>
                      <w:lang w:val="en-US" w:eastAsia="zh-CN"/>
                    </w:rPr>
                    <w:t>、已建1回</w:t>
                  </w:r>
                  <w:r>
                    <w:rPr>
                      <w:rFonts w:hint="default" w:ascii="Times New Roman" w:hAnsi="Times New Roman" w:eastAsia="宋体" w:cs="Times New Roman"/>
                      <w:snapToGrid w:val="0"/>
                      <w:color w:val="auto"/>
                      <w:kern w:val="0"/>
                      <w:sz w:val="21"/>
                      <w:szCs w:val="21"/>
                      <w:highlight w:val="none"/>
                      <w:lang w:val="en-US" w:eastAsia="zh-CN"/>
                    </w:rPr>
                    <w:t>220kV线路</w:t>
                  </w:r>
                  <w:r>
                    <w:rPr>
                      <w:rFonts w:hint="eastAsia" w:cs="Times New Roman"/>
                      <w:snapToGrid w:val="0"/>
                      <w:color w:val="auto"/>
                      <w:kern w:val="0"/>
                      <w:sz w:val="21"/>
                      <w:szCs w:val="21"/>
                      <w:highlight w:val="none"/>
                      <w:lang w:val="en-US" w:eastAsia="zh-CN"/>
                    </w:rPr>
                    <w:t>由娜拥光伏电站接入</w:t>
                  </w:r>
                  <w:r>
                    <w:rPr>
                      <w:rFonts w:hint="default" w:ascii="Times New Roman" w:hAnsi="Times New Roman" w:eastAsia="宋体" w:cs="Times New Roman"/>
                      <w:snapToGrid w:val="0"/>
                      <w:color w:val="auto"/>
                      <w:kern w:val="0"/>
                      <w:sz w:val="21"/>
                      <w:szCs w:val="21"/>
                      <w:highlight w:val="none"/>
                      <w:lang w:val="en-US" w:eastAsia="zh-CN"/>
                    </w:rPr>
                    <w:t>）</w:t>
                  </w:r>
                  <w:r>
                    <w:rPr>
                      <w:rFonts w:hint="default" w:ascii="Times New Roman" w:hAnsi="Times New Roman" w:eastAsia="宋体" w:cs="Times New Roman"/>
                      <w:b w:val="0"/>
                      <w:bCs w:val="0"/>
                      <w:snapToGrid w:val="0"/>
                      <w:color w:val="auto"/>
                      <w:kern w:val="0"/>
                      <w:sz w:val="21"/>
                      <w:szCs w:val="21"/>
                      <w:highlight w:val="none"/>
                      <w:lang w:val="en-US" w:eastAsia="zh-CN"/>
                    </w:rPr>
                    <w:t>，升压站220kV配电装置采用户外GIS设备布置，主变压器高压侧采用钢芯铝绞线与220kV户外GIS配电装置相连，低压侧采用全绝缘管母方式与35kV配电装置连接。在220kV屋外配电装置出线处设置门型构架，便于架空导线引出。</w:t>
                  </w:r>
                  <w:bookmarkEnd w:id="71"/>
                </w:p>
                <w:p w14:paraId="6BEAB95B">
                  <w:pPr>
                    <w:keepNext w:val="0"/>
                    <w:keepLines w:val="0"/>
                    <w:pageBreakBefore w:val="0"/>
                    <w:widowControl w:val="0"/>
                    <w:numPr>
                      <w:ilvl w:val="0"/>
                      <w:numId w:val="0"/>
                    </w:numPr>
                    <w:kinsoku/>
                    <w:wordWrap/>
                    <w:overflowPunct/>
                    <w:topLinePunct w:val="0"/>
                    <w:autoSpaceDE/>
                    <w:autoSpaceDN/>
                    <w:bidi w:val="0"/>
                    <w:adjustRightInd/>
                    <w:snapToGrid/>
                    <w:spacing w:line="296" w:lineRule="auto"/>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在35kV每段母线分别装设一套34MVar的无功补偿装置，采用水冷SVG型式；主变压器低压侧35kV母线，设置接地变2台，型号为DKSC-1000/37，接地变容量为1000kVA；35kV系统采用小电阻接地系统。</w:t>
                  </w:r>
                </w:p>
                <w:p w14:paraId="3A8341F4">
                  <w:pPr>
                    <w:keepNext w:val="0"/>
                    <w:keepLines w:val="0"/>
                    <w:pageBreakBefore w:val="0"/>
                    <w:widowControl w:val="0"/>
                    <w:numPr>
                      <w:ilvl w:val="0"/>
                      <w:numId w:val="0"/>
                    </w:numPr>
                    <w:kinsoku/>
                    <w:wordWrap/>
                    <w:overflowPunct/>
                    <w:topLinePunct w:val="0"/>
                    <w:autoSpaceDE/>
                    <w:autoSpaceDN/>
                    <w:bidi w:val="0"/>
                    <w:adjustRightInd/>
                    <w:snapToGrid/>
                    <w:spacing w:line="296" w:lineRule="auto"/>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SVG户外成套装置及出线构架布置在站区的东侧，与主变成一字型布置；电气预制舱布置于主变西侧。</w:t>
                  </w:r>
                </w:p>
              </w:tc>
              <w:tc>
                <w:tcPr>
                  <w:tcW w:w="683" w:type="pct"/>
                  <w:vAlign w:val="center"/>
                </w:tcPr>
                <w:p w14:paraId="23E2E3A1">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已建成，本环评仅对已建1台200MVA主变压器及相关设施运行所产生辐射进行评价。</w:t>
                  </w:r>
                </w:p>
              </w:tc>
            </w:tr>
            <w:tr w14:paraId="5769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97" w:type="pct"/>
                  <w:vMerge w:val="restart"/>
                  <w:vAlign w:val="center"/>
                </w:tcPr>
                <w:p w14:paraId="480E1421">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lang w:val="en-US" w:eastAsia="zh-CN"/>
                    </w:rPr>
                  </w:pPr>
                </w:p>
                <w:p w14:paraId="3517B89E">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辅助工程</w:t>
                  </w:r>
                </w:p>
              </w:tc>
              <w:tc>
                <w:tcPr>
                  <w:tcW w:w="784" w:type="pct"/>
                  <w:gridSpan w:val="2"/>
                  <w:vAlign w:val="center"/>
                </w:tcPr>
                <w:p w14:paraId="78E80BD8">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highlight w:val="none"/>
                    </w:rPr>
                  </w:pPr>
                  <w:bookmarkStart w:id="72" w:name="OLE_LINK10"/>
                  <w:r>
                    <w:rPr>
                      <w:rFonts w:hint="default" w:ascii="Times New Roman" w:hAnsi="Times New Roman" w:eastAsia="宋体" w:cs="Times New Roman"/>
                      <w:snapToGrid w:val="0"/>
                      <w:color w:val="auto"/>
                      <w:kern w:val="0"/>
                      <w:sz w:val="21"/>
                      <w:szCs w:val="21"/>
                      <w:highlight w:val="none"/>
                      <w:lang w:val="en-US" w:eastAsia="zh-CN"/>
                    </w:rPr>
                    <w:t>综合楼</w:t>
                  </w:r>
                </w:p>
                <w:bookmarkEnd w:id="72"/>
              </w:tc>
              <w:tc>
                <w:tcPr>
                  <w:tcW w:w="3234" w:type="pct"/>
                  <w:vAlign w:val="center"/>
                </w:tcPr>
                <w:p w14:paraId="7882CD00">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综合楼占地面积约933.21m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，二层砖混结构，布置在站区的西侧，一层主要设置厨房、餐厅、会议室、休息间、控制室、卫生间，二层主要设置活动室、休息间、资料室及办公室。</w:t>
                  </w:r>
                </w:p>
              </w:tc>
              <w:tc>
                <w:tcPr>
                  <w:tcW w:w="683" w:type="pct"/>
                  <w:vMerge w:val="restart"/>
                  <w:vAlign w:val="center"/>
                </w:tcPr>
                <w:p w14:paraId="1D9666FA">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p w14:paraId="5C3E4399">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p w14:paraId="53C3DFE1">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已建成，且已在《中清能禄劝县岩子头200MW生态修复光伏电站项目环境影响报告表》中进行评价</w:t>
                  </w:r>
                </w:p>
              </w:tc>
            </w:tr>
            <w:tr w14:paraId="578A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97" w:type="pct"/>
                  <w:vMerge w:val="continue"/>
                  <w:vAlign w:val="center"/>
                </w:tcPr>
                <w:p w14:paraId="3346370D">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84" w:type="pct"/>
                  <w:gridSpan w:val="2"/>
                  <w:shd w:val="clear" w:color="auto" w:fill="auto"/>
                  <w:vAlign w:val="center"/>
                </w:tcPr>
                <w:p w14:paraId="27EB2815">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站用电系统</w:t>
                  </w:r>
                </w:p>
              </w:tc>
              <w:tc>
                <w:tcPr>
                  <w:tcW w:w="3234" w:type="pct"/>
                  <w:shd w:val="clear" w:color="auto" w:fill="auto"/>
                  <w:vAlign w:val="center"/>
                </w:tcPr>
                <w:p w14:paraId="1475E62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z w:val="21"/>
                      <w:szCs w:val="21"/>
                      <w:highlight w:val="none"/>
                    </w:rPr>
                    <w:t>采用800kVA站用变容量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变压器选用干式变压器，电源从35kV配电装置引接，站用电380V配电装置选用MNS型低压配电柜，采用电缆馈出至用电负荷</w:t>
                  </w:r>
                  <w:r>
                    <w:rPr>
                      <w:rFonts w:hint="default" w:ascii="Times New Roman" w:hAnsi="Times New Roman" w:eastAsia="宋体" w:cs="Times New Roman"/>
                      <w:color w:val="auto"/>
                      <w:sz w:val="21"/>
                      <w:szCs w:val="21"/>
                      <w:highlight w:val="none"/>
                      <w:lang w:eastAsia="zh-CN"/>
                    </w:rPr>
                    <w:t>。</w:t>
                  </w:r>
                </w:p>
              </w:tc>
              <w:tc>
                <w:tcPr>
                  <w:tcW w:w="683" w:type="pct"/>
                  <w:vMerge w:val="continue"/>
                  <w:shd w:val="clear" w:color="auto" w:fill="auto"/>
                  <w:vAlign w:val="center"/>
                </w:tcPr>
                <w:p w14:paraId="35A046D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68B2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5" w:hRule="atLeast"/>
                <w:jc w:val="center"/>
              </w:trPr>
              <w:tc>
                <w:tcPr>
                  <w:tcW w:w="297" w:type="pct"/>
                  <w:vMerge w:val="continue"/>
                  <w:vAlign w:val="center"/>
                </w:tcPr>
                <w:p w14:paraId="47B82F4B">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7F92B2BC">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避雷针</w:t>
                  </w:r>
                </w:p>
              </w:tc>
              <w:tc>
                <w:tcPr>
                  <w:tcW w:w="3234" w:type="pct"/>
                  <w:vAlign w:val="center"/>
                </w:tcPr>
                <w:p w14:paraId="08015083">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采用40m高避雷针1座，避雷针为法兰连接钢管的型式</w:t>
                  </w:r>
                </w:p>
              </w:tc>
              <w:tc>
                <w:tcPr>
                  <w:tcW w:w="683" w:type="pct"/>
                  <w:vMerge w:val="continue"/>
                  <w:vAlign w:val="center"/>
                </w:tcPr>
                <w:p w14:paraId="65C94008">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590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6AB79516">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2B61D98D">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围墙及大门</w:t>
                  </w:r>
                </w:p>
              </w:tc>
              <w:tc>
                <w:tcPr>
                  <w:tcW w:w="3234" w:type="pct"/>
                  <w:vAlign w:val="center"/>
                </w:tcPr>
                <w:p w14:paraId="3171F4AB">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升压站四周采用2.5m高实体砖围墙，升压站大门宽6m。</w:t>
                  </w:r>
                </w:p>
              </w:tc>
              <w:tc>
                <w:tcPr>
                  <w:tcW w:w="683" w:type="pct"/>
                  <w:vMerge w:val="continue"/>
                  <w:vAlign w:val="center"/>
                </w:tcPr>
                <w:p w14:paraId="2FB00C83">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7BF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61F5131F">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297176F3">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站内道路</w:t>
                  </w:r>
                </w:p>
              </w:tc>
              <w:tc>
                <w:tcPr>
                  <w:tcW w:w="3234" w:type="pct"/>
                  <w:vAlign w:val="center"/>
                </w:tcPr>
                <w:p w14:paraId="0271F7FF">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站内道路采用郊区型混凝土道路，道路宽度为4.5m，转弯半径为9m，布置在站区西南侧与进站道路相接。</w:t>
                  </w:r>
                </w:p>
              </w:tc>
              <w:tc>
                <w:tcPr>
                  <w:tcW w:w="683" w:type="pct"/>
                  <w:vMerge w:val="continue"/>
                  <w:vAlign w:val="center"/>
                </w:tcPr>
                <w:p w14:paraId="07E136DE">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33EB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7DDFECA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008BBF6E">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附属用房</w:t>
                  </w:r>
                </w:p>
              </w:tc>
              <w:tc>
                <w:tcPr>
                  <w:tcW w:w="3234" w:type="pct"/>
                  <w:vAlign w:val="center"/>
                </w:tcPr>
                <w:p w14:paraId="7DC1DB23">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附属用房占地面积约210.51</w:t>
                  </w:r>
                  <w:r>
                    <w:rPr>
                      <w:rFonts w:hint="default" w:ascii="Times New Roman" w:hAnsi="Times New Roman" w:eastAsia="宋体" w:cs="Times New Roman"/>
                      <w:snapToGrid w:val="0"/>
                      <w:color w:val="auto"/>
                      <w:kern w:val="0"/>
                      <w:sz w:val="21"/>
                      <w:szCs w:val="21"/>
                      <w:highlight w:val="none"/>
                      <w:lang w:val="en-US" w:eastAsia="zh-CN"/>
                    </w:rPr>
                    <w:t>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，地上一层，框架结构，地下局部负一层，布置在站区的西侧，其中地下一层设置消防水池、消防水泵房，一层主要设置工具间、备品备件间、生活水泵房等。</w:t>
                  </w:r>
                </w:p>
              </w:tc>
              <w:tc>
                <w:tcPr>
                  <w:tcW w:w="683" w:type="pct"/>
                  <w:vMerge w:val="continue"/>
                  <w:vAlign w:val="center"/>
                </w:tcPr>
                <w:p w14:paraId="1ADD9C4D">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3D4E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restart"/>
                  <w:vAlign w:val="center"/>
                </w:tcPr>
                <w:p w14:paraId="3D9DEC6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p w14:paraId="1100F56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p w14:paraId="2D1354C0">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环保工程</w:t>
                  </w:r>
                </w:p>
              </w:tc>
              <w:tc>
                <w:tcPr>
                  <w:tcW w:w="227" w:type="pct"/>
                  <w:vMerge w:val="restart"/>
                  <w:vAlign w:val="center"/>
                </w:tcPr>
                <w:p w14:paraId="25DD36E4">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废水</w:t>
                  </w:r>
                </w:p>
              </w:tc>
              <w:tc>
                <w:tcPr>
                  <w:tcW w:w="556" w:type="pct"/>
                  <w:vAlign w:val="center"/>
                </w:tcPr>
                <w:p w14:paraId="0E768755">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雨水沟</w:t>
                  </w:r>
                </w:p>
              </w:tc>
              <w:tc>
                <w:tcPr>
                  <w:tcW w:w="3234" w:type="pct"/>
                  <w:vAlign w:val="center"/>
                </w:tcPr>
                <w:p w14:paraId="2D950D04">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pacing w:val="0"/>
                      <w:sz w:val="21"/>
                      <w:szCs w:val="21"/>
                      <w:highlight w:val="none"/>
                      <w:lang w:val="en-US" w:eastAsia="zh-CN"/>
                    </w:rPr>
                    <w:t>厂区内设置雨水沟，设置雨污分流系统</w:t>
                  </w:r>
                  <w:r>
                    <w:rPr>
                      <w:rFonts w:hint="default" w:ascii="Times New Roman" w:hAnsi="Times New Roman" w:eastAsia="宋体" w:cs="Times New Roman"/>
                      <w:color w:val="auto"/>
                      <w:spacing w:val="0"/>
                      <w:sz w:val="21"/>
                      <w:szCs w:val="21"/>
                      <w:highlight w:val="none"/>
                    </w:rPr>
                    <w:t>。</w:t>
                  </w:r>
                </w:p>
              </w:tc>
              <w:tc>
                <w:tcPr>
                  <w:tcW w:w="683" w:type="pct"/>
                  <w:vMerge w:val="restart"/>
                  <w:vAlign w:val="center"/>
                </w:tcPr>
                <w:p w14:paraId="4DDBB167">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已建成，且已在《中清能禄劝县岩子头200MW生态修复光伏电站项目环境影响报告表》中进行评价</w:t>
                  </w:r>
                </w:p>
              </w:tc>
            </w:tr>
            <w:tr w14:paraId="499A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7D7E5F9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continue"/>
                  <w:vAlign w:val="center"/>
                </w:tcPr>
                <w:p w14:paraId="6DBA56DE">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6" w:type="pct"/>
                  <w:vAlign w:val="center"/>
                </w:tcPr>
                <w:p w14:paraId="53EE0FDD">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隔油池</w:t>
                  </w:r>
                </w:p>
              </w:tc>
              <w:tc>
                <w:tcPr>
                  <w:tcW w:w="3234" w:type="pct"/>
                  <w:vAlign w:val="center"/>
                </w:tcPr>
                <w:p w14:paraId="7D4CD62D">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rPr>
                    <w:t>隔油池</w:t>
                  </w:r>
                  <w:r>
                    <w:rPr>
                      <w:rFonts w:hint="default" w:ascii="Times New Roman" w:hAnsi="Times New Roman" w:eastAsia="宋体" w:cs="Times New Roman"/>
                      <w:color w:val="auto"/>
                      <w:sz w:val="21"/>
                      <w:szCs w:val="21"/>
                      <w:highlight w:val="none"/>
                      <w:lang w:val="en-US" w:eastAsia="zh-CN"/>
                    </w:rPr>
                    <w:t>1个，容积为</w:t>
                  </w:r>
                  <w:r>
                    <w:rPr>
                      <w:rFonts w:hint="default" w:ascii="Times New Roman" w:hAnsi="Times New Roman" w:eastAsia="宋体" w:cs="Times New Roman"/>
                      <w:color w:val="auto"/>
                      <w:sz w:val="21"/>
                      <w:szCs w:val="21"/>
                      <w:highlight w:val="none"/>
                    </w:rPr>
                    <w:t>0.5m³</w:t>
                  </w:r>
                </w:p>
              </w:tc>
              <w:tc>
                <w:tcPr>
                  <w:tcW w:w="683" w:type="pct"/>
                  <w:vMerge w:val="continue"/>
                  <w:vAlign w:val="center"/>
                </w:tcPr>
                <w:p w14:paraId="198237EA">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3D5C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34C4499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continue"/>
                  <w:vAlign w:val="center"/>
                </w:tcPr>
                <w:p w14:paraId="15FE74A6">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6" w:type="pct"/>
                  <w:vAlign w:val="center"/>
                </w:tcPr>
                <w:p w14:paraId="3876A224">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化粪池</w:t>
                  </w:r>
                </w:p>
              </w:tc>
              <w:tc>
                <w:tcPr>
                  <w:tcW w:w="3234" w:type="pct"/>
                  <w:vAlign w:val="center"/>
                </w:tcPr>
                <w:p w14:paraId="219CF5C2">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埋地</w:t>
                  </w:r>
                  <w:r>
                    <w:rPr>
                      <w:rFonts w:hint="default" w:ascii="Times New Roman" w:hAnsi="Times New Roman" w:eastAsia="宋体" w:cs="Times New Roman"/>
                      <w:color w:val="auto"/>
                      <w:sz w:val="21"/>
                      <w:szCs w:val="21"/>
                      <w:highlight w:val="none"/>
                    </w:rPr>
                    <w:t>化粪池1个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容积为</w:t>
                  </w:r>
                  <w:r>
                    <w:rPr>
                      <w:rFonts w:hint="default" w:ascii="Times New Roman" w:hAnsi="Times New Roman" w:eastAsia="宋体" w:cs="Times New Roman"/>
                      <w:color w:val="auto"/>
                      <w:sz w:val="21"/>
                      <w:szCs w:val="21"/>
                      <w:highlight w:val="none"/>
                    </w:rPr>
                    <w:t>2m³</w:t>
                  </w:r>
                </w:p>
              </w:tc>
              <w:tc>
                <w:tcPr>
                  <w:tcW w:w="683" w:type="pct"/>
                  <w:vMerge w:val="continue"/>
                  <w:vAlign w:val="center"/>
                </w:tcPr>
                <w:p w14:paraId="34A3603F">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464B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2AEDB250">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continue"/>
                  <w:vAlign w:val="center"/>
                </w:tcPr>
                <w:p w14:paraId="70740637">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6" w:type="pct"/>
                  <w:vAlign w:val="center"/>
                </w:tcPr>
                <w:p w14:paraId="57C2C350">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一体化污水处理站</w:t>
                  </w:r>
                </w:p>
              </w:tc>
              <w:tc>
                <w:tcPr>
                  <w:tcW w:w="3234" w:type="pct"/>
                  <w:vAlign w:val="center"/>
                </w:tcPr>
                <w:p w14:paraId="6A760721">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地埋式一体化污水处理站</w:t>
                  </w:r>
                  <w:r>
                    <w:rPr>
                      <w:rFonts w:hint="default" w:ascii="Times New Roman" w:hAnsi="Times New Roman" w:eastAsia="宋体" w:cs="Times New Roman"/>
                      <w:color w:val="auto"/>
                      <w:sz w:val="21"/>
                      <w:szCs w:val="21"/>
                      <w:highlight w:val="none"/>
                      <w:lang w:val="en-US" w:eastAsia="zh-CN"/>
                    </w:rPr>
                    <w:t>1套，处理规模2m³/d</w:t>
                  </w:r>
                </w:p>
              </w:tc>
              <w:tc>
                <w:tcPr>
                  <w:tcW w:w="683" w:type="pct"/>
                  <w:vMerge w:val="continue"/>
                  <w:vAlign w:val="center"/>
                </w:tcPr>
                <w:p w14:paraId="6B8E08A4">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758A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79ED2241">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continue"/>
                  <w:vAlign w:val="center"/>
                </w:tcPr>
                <w:p w14:paraId="77B06CAF">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56" w:type="pct"/>
                  <w:vAlign w:val="center"/>
                </w:tcPr>
                <w:p w14:paraId="5EEC5219">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清水暂存池</w:t>
                  </w:r>
                </w:p>
              </w:tc>
              <w:tc>
                <w:tcPr>
                  <w:tcW w:w="3234" w:type="pct"/>
                  <w:vAlign w:val="center"/>
                </w:tcPr>
                <w:p w14:paraId="47329FE4">
                  <w:pPr>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清水暂存池</w:t>
                  </w:r>
                  <w:r>
                    <w:rPr>
                      <w:rFonts w:hint="default" w:ascii="Times New Roman" w:hAnsi="Times New Roman" w:eastAsia="宋体" w:cs="Times New Roman"/>
                      <w:color w:val="auto"/>
                      <w:sz w:val="21"/>
                      <w:szCs w:val="21"/>
                      <w:highlight w:val="none"/>
                      <w:lang w:val="en-US" w:eastAsia="zh-CN"/>
                    </w:rPr>
                    <w:t>1个，容积为25.74</w:t>
                  </w:r>
                  <w:r>
                    <w:rPr>
                      <w:rFonts w:hint="default" w:ascii="Times New Roman" w:hAnsi="Times New Roman" w:eastAsia="宋体" w:cs="Times New Roman"/>
                      <w:color w:val="auto"/>
                      <w:sz w:val="21"/>
                      <w:szCs w:val="21"/>
                      <w:highlight w:val="none"/>
                    </w:rPr>
                    <w:t>m³</w:t>
                  </w:r>
                </w:p>
              </w:tc>
              <w:tc>
                <w:tcPr>
                  <w:tcW w:w="683" w:type="pct"/>
                  <w:vMerge w:val="continue"/>
                  <w:vAlign w:val="center"/>
                </w:tcPr>
                <w:p w14:paraId="33FCEB0D">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25BF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1" w:hRule="atLeast"/>
                <w:jc w:val="center"/>
              </w:trPr>
              <w:tc>
                <w:tcPr>
                  <w:tcW w:w="297" w:type="pct"/>
                  <w:vMerge w:val="continue"/>
                  <w:vAlign w:val="center"/>
                </w:tcPr>
                <w:p w14:paraId="6CDB57C3">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restart"/>
                  <w:vAlign w:val="center"/>
                </w:tcPr>
                <w:p w14:paraId="780BD0F3">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固废</w:t>
                  </w:r>
                </w:p>
              </w:tc>
              <w:tc>
                <w:tcPr>
                  <w:tcW w:w="556" w:type="pct"/>
                  <w:vAlign w:val="center"/>
                </w:tcPr>
                <w:p w14:paraId="7E49CC87">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贮油设施</w:t>
                  </w:r>
                </w:p>
              </w:tc>
              <w:tc>
                <w:tcPr>
                  <w:tcW w:w="3234" w:type="pct"/>
                  <w:vAlign w:val="center"/>
                </w:tcPr>
                <w:p w14:paraId="4FE00E41">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升压站已建主</w:t>
                  </w:r>
                  <w:r>
                    <w:rPr>
                      <w:rFonts w:hint="default" w:ascii="Times New Roman" w:hAnsi="Times New Roman" w:eastAsia="宋体" w:cs="Times New Roman"/>
                      <w:color w:val="auto"/>
                      <w:sz w:val="21"/>
                      <w:szCs w:val="21"/>
                      <w:highlight w:val="none"/>
                    </w:rPr>
                    <w:t>变</w:t>
                  </w:r>
                  <w:r>
                    <w:rPr>
                      <w:rFonts w:hint="default" w:ascii="Times New Roman" w:hAnsi="Times New Roman" w:eastAsia="宋体" w:cs="Times New Roman"/>
                      <w:color w:val="auto"/>
                      <w:spacing w:val="0"/>
                      <w:sz w:val="21"/>
                      <w:szCs w:val="21"/>
                      <w:highlight w:val="none"/>
                    </w:rPr>
                    <w:t>下方设置</w:t>
                  </w:r>
                  <w:r>
                    <w:rPr>
                      <w:rFonts w:hint="default" w:ascii="Times New Roman" w:hAnsi="Times New Roman" w:eastAsia="宋体" w:cs="Times New Roman"/>
                      <w:color w:val="auto"/>
                      <w:spacing w:val="0"/>
                      <w:sz w:val="21"/>
                      <w:szCs w:val="21"/>
                      <w:highlight w:val="none"/>
                      <w:lang w:val="en-US" w:eastAsia="zh-CN"/>
                    </w:rPr>
                    <w:t>有</w:t>
                  </w:r>
                  <w:r>
                    <w:rPr>
                      <w:rFonts w:hint="default" w:ascii="Times New Roman" w:hAnsi="Times New Roman" w:eastAsia="宋体" w:cs="Times New Roman"/>
                      <w:color w:val="auto"/>
                      <w:spacing w:val="0"/>
                      <w:sz w:val="21"/>
                      <w:szCs w:val="21"/>
                      <w:highlight w:val="none"/>
                    </w:rPr>
                    <w:t>集油坑，</w:t>
                  </w:r>
                  <w:r>
                    <w:rPr>
                      <w:rFonts w:hint="default" w:ascii="Times New Roman" w:hAnsi="Times New Roman" w:eastAsia="宋体" w:cs="Times New Roman"/>
                      <w:color w:val="auto"/>
                      <w:spacing w:val="0"/>
                      <w:sz w:val="21"/>
                      <w:szCs w:val="21"/>
                      <w:highlight w:val="none"/>
                      <w:lang w:val="en-US" w:eastAsia="zh-CN"/>
                    </w:rPr>
                    <w:t>已建</w:t>
                  </w:r>
                  <w:r>
                    <w:rPr>
                      <w:rFonts w:hint="default" w:ascii="Times New Roman" w:hAnsi="Times New Roman" w:eastAsia="宋体" w:cs="Times New Roman"/>
                      <w:color w:val="auto"/>
                      <w:sz w:val="21"/>
                      <w:szCs w:val="21"/>
                      <w:highlight w:val="none"/>
                    </w:rPr>
                    <w:t>集油坑有效容积为</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已设置1个容积为52.8m³的事故油池，集油坑及事故油池之间采用排油管道相连，集油坑及事故油池进行防渗处理。</w:t>
                  </w:r>
                  <w:r>
                    <w:rPr>
                      <w:rFonts w:hint="default" w:ascii="Times New Roman" w:hAnsi="Times New Roman" w:eastAsia="宋体" w:cs="Times New Roman"/>
                      <w:color w:val="auto"/>
                      <w:spacing w:val="0"/>
                      <w:sz w:val="21"/>
                      <w:szCs w:val="21"/>
                      <w:highlight w:val="none"/>
                    </w:rPr>
                    <w:t>若</w:t>
                  </w:r>
                  <w:r>
                    <w:rPr>
                      <w:rFonts w:hint="default" w:ascii="Times New Roman" w:hAnsi="Times New Roman" w:eastAsia="宋体" w:cs="Times New Roman"/>
                      <w:color w:val="auto"/>
                      <w:sz w:val="21"/>
                      <w:szCs w:val="21"/>
                      <w:highlight w:val="none"/>
                      <w:lang w:eastAsia="zh-CN"/>
                    </w:rPr>
                    <w:t>主变压器</w:t>
                  </w:r>
                  <w:r>
                    <w:rPr>
                      <w:rFonts w:hint="default" w:ascii="Times New Roman" w:hAnsi="Times New Roman" w:eastAsia="宋体" w:cs="Times New Roman"/>
                      <w:color w:val="auto"/>
                      <w:spacing w:val="0"/>
                      <w:sz w:val="21"/>
                      <w:szCs w:val="21"/>
                      <w:highlight w:val="none"/>
                    </w:rPr>
                    <w:t>发生事故，事故油进入变压器下方集油坑，经排油管道进入事故油池</w:t>
                  </w:r>
                  <w:r>
                    <w:rPr>
                      <w:rFonts w:hint="default" w:ascii="Times New Roman" w:hAnsi="Times New Roman" w:eastAsia="宋体" w:cs="Times New Roman"/>
                      <w:color w:val="auto"/>
                      <w:spacing w:val="0"/>
                      <w:sz w:val="21"/>
                      <w:szCs w:val="21"/>
                      <w:highlight w:val="none"/>
                      <w:lang w:val="en-US" w:eastAsia="zh-CN"/>
                    </w:rPr>
                    <w:t>收集</w:t>
                  </w:r>
                  <w:r>
                    <w:rPr>
                      <w:rFonts w:hint="default" w:ascii="Times New Roman" w:hAnsi="Times New Roman" w:eastAsia="宋体" w:cs="Times New Roman"/>
                      <w:color w:val="auto"/>
                      <w:spacing w:val="0"/>
                      <w:sz w:val="21"/>
                      <w:szCs w:val="21"/>
                      <w:highlight w:val="none"/>
                    </w:rPr>
                    <w:t>后</w:t>
                  </w:r>
                  <w:r>
                    <w:rPr>
                      <w:rFonts w:hint="default" w:ascii="Times New Roman" w:hAnsi="Times New Roman" w:eastAsia="宋体" w:cs="Times New Roman"/>
                      <w:color w:val="auto"/>
                      <w:spacing w:val="0"/>
                      <w:sz w:val="21"/>
                      <w:szCs w:val="21"/>
                      <w:highlight w:val="none"/>
                      <w:lang w:val="en-US" w:eastAsia="zh-CN"/>
                    </w:rPr>
                    <w:t>可</w:t>
                  </w:r>
                  <w:r>
                    <w:rPr>
                      <w:rFonts w:hint="default" w:ascii="Times New Roman" w:hAnsi="Times New Roman" w:eastAsia="宋体" w:cs="Times New Roman"/>
                      <w:color w:val="auto"/>
                      <w:spacing w:val="0"/>
                      <w:sz w:val="21"/>
                      <w:szCs w:val="21"/>
                      <w:highlight w:val="none"/>
                    </w:rPr>
                    <w:t>回用</w:t>
                  </w:r>
                  <w:r>
                    <w:rPr>
                      <w:rFonts w:hint="default" w:ascii="Times New Roman" w:hAnsi="Times New Roman" w:eastAsia="宋体" w:cs="Times New Roman"/>
                      <w:color w:val="auto"/>
                      <w:spacing w:val="0"/>
                      <w:sz w:val="21"/>
                      <w:szCs w:val="21"/>
                      <w:highlight w:val="none"/>
                      <w:lang w:val="en-US" w:eastAsia="zh-CN"/>
                    </w:rPr>
                    <w:t>部分充分</w:t>
                  </w:r>
                  <w:r>
                    <w:rPr>
                      <w:rFonts w:hint="default" w:ascii="Times New Roman" w:hAnsi="Times New Roman" w:eastAsia="宋体" w:cs="Times New Roman"/>
                      <w:color w:val="auto"/>
                      <w:spacing w:val="0"/>
                      <w:sz w:val="21"/>
                      <w:szCs w:val="21"/>
                      <w:highlight w:val="none"/>
                    </w:rPr>
                    <w:t>回用，不能回用的委托</w:t>
                  </w:r>
                  <w:r>
                    <w:rPr>
                      <w:rFonts w:hint="default" w:ascii="Times New Roman" w:hAnsi="Times New Roman" w:eastAsia="宋体" w:cs="Times New Roman"/>
                      <w:color w:val="auto"/>
                      <w:spacing w:val="0"/>
                      <w:sz w:val="21"/>
                      <w:szCs w:val="21"/>
                      <w:highlight w:val="none"/>
                      <w:lang w:eastAsia="zh-CN"/>
                    </w:rPr>
                    <w:t>有资质单位处置</w:t>
                  </w:r>
                  <w:r>
                    <w:rPr>
                      <w:rFonts w:hint="default" w:ascii="Times New Roman" w:hAnsi="Times New Roman" w:eastAsia="宋体" w:cs="Times New Roman"/>
                      <w:color w:val="auto"/>
                      <w:spacing w:val="0"/>
                      <w:sz w:val="21"/>
                      <w:szCs w:val="21"/>
                      <w:highlight w:val="none"/>
                    </w:rPr>
                    <w:t>。</w:t>
                  </w:r>
                </w:p>
              </w:tc>
              <w:tc>
                <w:tcPr>
                  <w:tcW w:w="683" w:type="pct"/>
                  <w:vMerge w:val="continue"/>
                  <w:vAlign w:val="center"/>
                </w:tcPr>
                <w:p w14:paraId="17FAB133">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44C5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297" w:type="pct"/>
                  <w:vMerge w:val="continue"/>
                  <w:vAlign w:val="center"/>
                </w:tcPr>
                <w:p w14:paraId="381DD8E4">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continue"/>
                  <w:vAlign w:val="center"/>
                </w:tcPr>
                <w:p w14:paraId="2631D7EF">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6" w:type="pct"/>
                  <w:vAlign w:val="center"/>
                </w:tcPr>
                <w:p w14:paraId="6DDF98AC">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危废暂存间</w:t>
                  </w:r>
                </w:p>
              </w:tc>
              <w:tc>
                <w:tcPr>
                  <w:tcW w:w="3234" w:type="pct"/>
                  <w:vAlign w:val="center"/>
                </w:tcPr>
                <w:p w14:paraId="78153283">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危废暂存间1间，占地面积39.32m</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snapToGrid w:val="0"/>
                      <w:color w:val="auto"/>
                      <w:kern w:val="0"/>
                      <w:sz w:val="21"/>
                      <w:szCs w:val="21"/>
                      <w:highlight w:val="none"/>
                      <w:lang w:val="en-US" w:eastAsia="zh-CN"/>
                    </w:rPr>
                    <w:t>危废暂存间</w:t>
                  </w:r>
                  <w:r>
                    <w:rPr>
                      <w:rFonts w:hint="default" w:ascii="Times New Roman" w:hAnsi="Times New Roman" w:eastAsia="宋体" w:cs="Times New Roman"/>
                      <w:color w:val="auto"/>
                      <w:sz w:val="21"/>
                      <w:szCs w:val="21"/>
                      <w:highlight w:val="none"/>
                      <w:lang w:val="en-US" w:eastAsia="zh-CN"/>
                    </w:rPr>
                    <w:t>已进行防渗处理，设置有标志、标识牌</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683" w:type="pct"/>
                  <w:vMerge w:val="continue"/>
                  <w:vAlign w:val="center"/>
                </w:tcPr>
                <w:p w14:paraId="39AFF197">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6DCF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297" w:type="pct"/>
                  <w:vMerge w:val="continue"/>
                  <w:vAlign w:val="center"/>
                </w:tcPr>
                <w:p w14:paraId="4A79123E">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Merge w:val="continue"/>
                  <w:vAlign w:val="center"/>
                </w:tcPr>
                <w:p w14:paraId="07B5F3FD">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6" w:type="pct"/>
                  <w:vAlign w:val="center"/>
                </w:tcPr>
                <w:p w14:paraId="59CB189C">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垃圾桶</w:t>
                  </w:r>
                </w:p>
              </w:tc>
              <w:tc>
                <w:tcPr>
                  <w:tcW w:w="3234" w:type="pct"/>
                  <w:vAlign w:val="center"/>
                </w:tcPr>
                <w:p w14:paraId="5C7A8384">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升压站设置有生活垃圾收集桶及垃圾收集箱</w:t>
                  </w:r>
                </w:p>
              </w:tc>
              <w:tc>
                <w:tcPr>
                  <w:tcW w:w="683" w:type="pct"/>
                  <w:vMerge w:val="continue"/>
                  <w:vAlign w:val="center"/>
                </w:tcPr>
                <w:p w14:paraId="4B968620">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77CD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297" w:type="pct"/>
                  <w:vMerge w:val="continue"/>
                  <w:vAlign w:val="center"/>
                </w:tcPr>
                <w:p w14:paraId="030E6928">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227" w:type="pct"/>
                  <w:vAlign w:val="center"/>
                </w:tcPr>
                <w:p w14:paraId="72EBF2CA">
                  <w:pPr>
                    <w:keepNext w:val="0"/>
                    <w:keepLines w:val="0"/>
                    <w:pageBreakBefore w:val="0"/>
                    <w:widowControl w:val="0"/>
                    <w:kinsoku/>
                    <w:wordWrap/>
                    <w:overflowPunct/>
                    <w:topLinePunct w:val="0"/>
                    <w:autoSpaceDE/>
                    <w:autoSpaceDN/>
                    <w:bidi w:val="0"/>
                    <w:adjustRightInd/>
                    <w:snapToGrid/>
                    <w:spacing w:line="296"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w:t>
                  </w:r>
                </w:p>
              </w:tc>
              <w:tc>
                <w:tcPr>
                  <w:tcW w:w="556" w:type="pct"/>
                  <w:vAlign w:val="center"/>
                </w:tcPr>
                <w:p w14:paraId="401332EE">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食堂油烟机</w:t>
                  </w:r>
                </w:p>
              </w:tc>
              <w:tc>
                <w:tcPr>
                  <w:tcW w:w="3234" w:type="pct"/>
                  <w:vAlign w:val="center"/>
                </w:tcPr>
                <w:p w14:paraId="29208774">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升压站厨房设置有油烟机1台及专用烟道</w:t>
                  </w:r>
                </w:p>
              </w:tc>
              <w:tc>
                <w:tcPr>
                  <w:tcW w:w="683" w:type="pct"/>
                  <w:vMerge w:val="continue"/>
                  <w:vAlign w:val="center"/>
                </w:tcPr>
                <w:p w14:paraId="62905141">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146F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5F027937">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5BEBA470">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噪声</w:t>
                  </w:r>
                </w:p>
              </w:tc>
              <w:tc>
                <w:tcPr>
                  <w:tcW w:w="3234" w:type="pct"/>
                  <w:vAlign w:val="center"/>
                </w:tcPr>
                <w:p w14:paraId="5772EE64">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color w:val="auto"/>
                      <w:sz w:val="21"/>
                      <w:szCs w:val="21"/>
                      <w:highlight w:val="none"/>
                    </w:rPr>
                    <w:t>低噪声设备、基础减振</w:t>
                  </w:r>
                </w:p>
              </w:tc>
              <w:tc>
                <w:tcPr>
                  <w:tcW w:w="683" w:type="pct"/>
                  <w:vMerge w:val="continue"/>
                  <w:vAlign w:val="center"/>
                </w:tcPr>
                <w:p w14:paraId="0222B8A0">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788F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8" w:hRule="atLeast"/>
                <w:jc w:val="center"/>
              </w:trPr>
              <w:tc>
                <w:tcPr>
                  <w:tcW w:w="297" w:type="pct"/>
                  <w:vMerge w:val="continue"/>
                  <w:vAlign w:val="center"/>
                </w:tcPr>
                <w:p w14:paraId="51C9822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190ADCC7">
                  <w:pPr>
                    <w:pStyle w:val="260"/>
                    <w:keepNext w:val="0"/>
                    <w:keepLines w:val="0"/>
                    <w:pageBreakBefore w:val="0"/>
                    <w:widowControl w:val="0"/>
                    <w:kinsoku/>
                    <w:wordWrap/>
                    <w:overflowPunct/>
                    <w:topLinePunct w:val="0"/>
                    <w:autoSpaceDE/>
                    <w:autoSpaceDN/>
                    <w:bidi w:val="0"/>
                    <w:adjustRightInd/>
                    <w:snapToGrid/>
                    <w:spacing w:line="296"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电磁环境</w:t>
                  </w:r>
                </w:p>
              </w:tc>
              <w:tc>
                <w:tcPr>
                  <w:tcW w:w="3234" w:type="pct"/>
                  <w:vAlign w:val="center"/>
                </w:tcPr>
                <w:p w14:paraId="0DAE1091">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bCs/>
                      <w:color w:val="auto"/>
                      <w:sz w:val="21"/>
                      <w:szCs w:val="21"/>
                      <w:highlight w:val="none"/>
                    </w:rPr>
                    <w:t>站址周围粘贴、悬挂各种警告、防护标识。</w:t>
                  </w:r>
                </w:p>
              </w:tc>
              <w:tc>
                <w:tcPr>
                  <w:tcW w:w="683" w:type="pct"/>
                  <w:vMerge w:val="continue"/>
                  <w:vAlign w:val="center"/>
                </w:tcPr>
                <w:p w14:paraId="6CD5AAFB">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p>
              </w:tc>
            </w:tr>
            <w:tr w14:paraId="424E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09F6A2F3">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84" w:type="pct"/>
                  <w:gridSpan w:val="2"/>
                  <w:vAlign w:val="center"/>
                </w:tcPr>
                <w:p w14:paraId="4E2B7876">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消防灭火系统</w:t>
                  </w:r>
                </w:p>
              </w:tc>
              <w:tc>
                <w:tcPr>
                  <w:tcW w:w="3234" w:type="pct"/>
                  <w:vAlign w:val="center"/>
                </w:tcPr>
                <w:p w14:paraId="17CCB056">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pacing w:val="0"/>
                      <w:sz w:val="21"/>
                      <w:szCs w:val="21"/>
                      <w:highlight w:val="none"/>
                    </w:rPr>
                    <w:t>消防灭火系统设计主要包括：站区设置一套独立的消防水系统，升压站区及预留储能区设置室外消火栓系统，综合楼设置内消火栓系统，同时各建筑物及主变压器、SVG装置附近等按规范配置手提式灭火器、推车灭火器、砂箱及消防铲等消防设施</w:t>
                  </w:r>
                  <w:r>
                    <w:rPr>
                      <w:rFonts w:hint="default" w:ascii="Times New Roman" w:hAnsi="Times New Roman" w:eastAsia="宋体" w:cs="Times New Roman"/>
                      <w:color w:val="auto"/>
                      <w:spacing w:val="0"/>
                      <w:sz w:val="21"/>
                      <w:szCs w:val="21"/>
                      <w:highlight w:val="none"/>
                      <w:lang w:eastAsia="zh-CN"/>
                    </w:rPr>
                    <w:t>。</w:t>
                  </w:r>
                </w:p>
              </w:tc>
              <w:tc>
                <w:tcPr>
                  <w:tcW w:w="683" w:type="pct"/>
                  <w:vMerge w:val="continue"/>
                  <w:vAlign w:val="center"/>
                </w:tcPr>
                <w:p w14:paraId="509F183D">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1BCD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97" w:type="pct"/>
                  <w:vMerge w:val="continue"/>
                  <w:vAlign w:val="center"/>
                </w:tcPr>
                <w:p w14:paraId="5E152898">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84" w:type="pct"/>
                  <w:gridSpan w:val="2"/>
                  <w:vAlign w:val="center"/>
                </w:tcPr>
                <w:p w14:paraId="3FFF5AD1">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绿化</w:t>
                  </w:r>
                </w:p>
              </w:tc>
              <w:tc>
                <w:tcPr>
                  <w:tcW w:w="3234" w:type="pct"/>
                  <w:vAlign w:val="center"/>
                </w:tcPr>
                <w:p w14:paraId="269E312D">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升压站设置有绿化带，绿化面积2969</w:t>
                  </w:r>
                  <w:r>
                    <w:rPr>
                      <w:rFonts w:hint="default" w:ascii="Times New Roman" w:hAnsi="Times New Roman" w:eastAsia="宋体" w:cs="Times New Roman"/>
                      <w:bCs/>
                      <w:color w:val="auto"/>
                      <w:kern w:val="0"/>
                      <w:sz w:val="24"/>
                      <w:highlight w:val="none"/>
                      <w:lang w:val="en-US" w:eastAsia="zh-CN" w:bidi="ar"/>
                    </w:rPr>
                    <w:t>m</w:t>
                  </w:r>
                  <w:r>
                    <w:rPr>
                      <w:rFonts w:hint="default" w:ascii="Times New Roman" w:hAnsi="Times New Roman" w:eastAsia="宋体" w:cs="Times New Roman"/>
                      <w:bCs/>
                      <w:color w:val="auto"/>
                      <w:kern w:val="0"/>
                      <w:sz w:val="24"/>
                      <w:highlight w:val="none"/>
                      <w:vertAlign w:val="superscript"/>
                      <w:lang w:val="en-US" w:eastAsia="zh-CN" w:bidi="ar"/>
                    </w:rPr>
                    <w:t>2</w:t>
                  </w:r>
                </w:p>
              </w:tc>
              <w:tc>
                <w:tcPr>
                  <w:tcW w:w="683" w:type="pct"/>
                  <w:vMerge w:val="continue"/>
                  <w:vAlign w:val="center"/>
                </w:tcPr>
                <w:p w14:paraId="49605A64">
                  <w:pPr>
                    <w:keepNext w:val="0"/>
                    <w:keepLines w:val="0"/>
                    <w:pageBreakBefore w:val="0"/>
                    <w:widowControl w:val="0"/>
                    <w:kinsoku/>
                    <w:wordWrap/>
                    <w:overflowPunct/>
                    <w:topLinePunct w:val="0"/>
                    <w:autoSpaceDE/>
                    <w:autoSpaceDN/>
                    <w:bidi w:val="0"/>
                    <w:adjustRightInd/>
                    <w:snapToGrid/>
                    <w:spacing w:line="296"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bookmarkEnd w:id="70"/>
          </w:tbl>
          <w:p w14:paraId="0F8851CF">
            <w:pPr>
              <w:keepNext/>
              <w:keepLines/>
              <w:spacing w:line="360" w:lineRule="auto"/>
              <w:outlineLvl w:val="1"/>
              <w:rPr>
                <w:rFonts w:hint="default" w:ascii="Times New Roman" w:hAnsi="Times New Roman" w:eastAsia="宋体" w:cs="Times New Roman"/>
                <w:b/>
                <w:color w:val="auto"/>
                <w:sz w:val="24"/>
                <w:highlight w:val="none"/>
              </w:rPr>
            </w:pPr>
            <w:bookmarkStart w:id="73" w:name="_Toc1254"/>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项目主要技术指标</w:t>
            </w:r>
            <w:bookmarkEnd w:id="73"/>
          </w:p>
          <w:p w14:paraId="00AB82B2">
            <w:pPr>
              <w:spacing w:line="360" w:lineRule="auto"/>
              <w:ind w:firstLine="480" w:firstLineChars="200"/>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color w:val="auto"/>
                <w:sz w:val="24"/>
                <w:highlight w:val="none"/>
              </w:rPr>
              <w:t>工程主要技术指标见表2-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14:paraId="5E494ECE">
            <w:pPr>
              <w:autoSpaceDE w:val="0"/>
              <w:autoSpaceDN w:val="0"/>
              <w:jc w:val="center"/>
              <w:rPr>
                <w:rFonts w:hint="default" w:ascii="Times New Roman" w:hAnsi="Times New Roman" w:eastAsia="宋体" w:cs="Times New Roman"/>
                <w:b/>
                <w:color w:val="auto"/>
                <w:kern w:val="0"/>
                <w:sz w:val="24"/>
                <w:szCs w:val="21"/>
                <w:highlight w:val="none"/>
                <w:lang w:val="en-US" w:eastAsia="zh-CN"/>
              </w:rPr>
            </w:pPr>
            <w:r>
              <w:rPr>
                <w:rFonts w:hint="default" w:ascii="Times New Roman" w:hAnsi="Times New Roman" w:eastAsia="宋体" w:cs="Times New Roman"/>
                <w:b/>
                <w:color w:val="auto"/>
                <w:kern w:val="0"/>
                <w:sz w:val="24"/>
                <w:szCs w:val="21"/>
                <w:highlight w:val="none"/>
              </w:rPr>
              <w:t>表2-</w:t>
            </w:r>
            <w:r>
              <w:rPr>
                <w:rFonts w:hint="default" w:ascii="Times New Roman" w:hAnsi="Times New Roman" w:eastAsia="宋体" w:cs="Times New Roman"/>
                <w:b/>
                <w:color w:val="auto"/>
                <w:kern w:val="0"/>
                <w:sz w:val="24"/>
                <w:szCs w:val="21"/>
                <w:highlight w:val="none"/>
                <w:lang w:val="en-US" w:eastAsia="zh-CN"/>
              </w:rPr>
              <w:t>3</w:t>
            </w:r>
            <w:r>
              <w:rPr>
                <w:rFonts w:hint="default" w:ascii="Times New Roman" w:hAnsi="Times New Roman" w:eastAsia="宋体" w:cs="Times New Roman"/>
                <w:b/>
                <w:color w:val="auto"/>
                <w:kern w:val="0"/>
                <w:sz w:val="24"/>
                <w:szCs w:val="21"/>
                <w:highlight w:val="none"/>
              </w:rPr>
              <w:t xml:space="preserve">  本项目主要技术指标</w:t>
            </w:r>
            <w:r>
              <w:rPr>
                <w:rFonts w:hint="default" w:ascii="Times New Roman" w:hAnsi="Times New Roman" w:eastAsia="宋体" w:cs="Times New Roman"/>
                <w:b/>
                <w:color w:val="auto"/>
                <w:kern w:val="0"/>
                <w:sz w:val="24"/>
                <w:szCs w:val="21"/>
                <w:highlight w:val="none"/>
                <w:lang w:val="en-US" w:eastAsia="zh-CN"/>
              </w:rPr>
              <w:t>一览表</w:t>
            </w:r>
          </w:p>
          <w:tbl>
            <w:tblPr>
              <w:tblStyle w:val="49"/>
              <w:tblpPr w:leftFromText="180" w:rightFromText="180" w:vertAnchor="text" w:horzAnchor="page" w:tblpXSpec="center" w:tblpY="33"/>
              <w:tblOverlap w:val="never"/>
              <w:tblW w:w="8018" w:type="dxa"/>
              <w:jc w:val="center"/>
              <w:tblLayout w:type="fixed"/>
              <w:tblCellMar>
                <w:top w:w="0" w:type="dxa"/>
                <w:left w:w="108" w:type="dxa"/>
                <w:bottom w:w="0" w:type="dxa"/>
                <w:right w:w="108" w:type="dxa"/>
              </w:tblCellMar>
            </w:tblPr>
            <w:tblGrid>
              <w:gridCol w:w="929"/>
              <w:gridCol w:w="2342"/>
              <w:gridCol w:w="766"/>
              <w:gridCol w:w="1990"/>
              <w:gridCol w:w="1991"/>
            </w:tblGrid>
            <w:tr w14:paraId="6026BA4C">
              <w:tblPrEx>
                <w:tblCellMar>
                  <w:top w:w="0" w:type="dxa"/>
                  <w:left w:w="108" w:type="dxa"/>
                  <w:bottom w:w="0" w:type="dxa"/>
                  <w:right w:w="108" w:type="dxa"/>
                </w:tblCellMar>
              </w:tblPrEx>
              <w:trPr>
                <w:trHeight w:val="433" w:hRule="atLeast"/>
                <w:jc w:val="center"/>
              </w:trPr>
              <w:tc>
                <w:tcPr>
                  <w:tcW w:w="579" w:type="pct"/>
                  <w:tcBorders>
                    <w:top w:val="single" w:color="auto" w:sz="8" w:space="0"/>
                    <w:left w:val="single" w:color="auto" w:sz="8" w:space="0"/>
                    <w:bottom w:val="single" w:color="auto" w:sz="8" w:space="0"/>
                    <w:right w:val="single" w:color="auto" w:sz="8" w:space="0"/>
                  </w:tcBorders>
                  <w:shd w:val="clear" w:color="auto" w:fill="auto"/>
                  <w:noWrap w:val="0"/>
                  <w:vAlign w:val="center"/>
                </w:tcPr>
                <w:p w14:paraId="7C31D7DA">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460" w:type="pct"/>
                  <w:tcBorders>
                    <w:top w:val="single" w:color="auto" w:sz="8" w:space="0"/>
                    <w:left w:val="nil"/>
                    <w:bottom w:val="single" w:color="auto" w:sz="8" w:space="0"/>
                    <w:right w:val="single" w:color="000000" w:sz="8" w:space="0"/>
                  </w:tcBorders>
                  <w:shd w:val="clear" w:color="auto" w:fill="auto"/>
                  <w:noWrap w:val="0"/>
                  <w:vAlign w:val="center"/>
                </w:tcPr>
                <w:p w14:paraId="210BA2C5">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477" w:type="pct"/>
                  <w:tcBorders>
                    <w:top w:val="single" w:color="auto" w:sz="8" w:space="0"/>
                    <w:left w:val="nil"/>
                    <w:bottom w:val="single" w:color="auto" w:sz="8" w:space="0"/>
                    <w:right w:val="single" w:color="auto" w:sz="8" w:space="0"/>
                  </w:tcBorders>
                  <w:shd w:val="clear" w:color="auto" w:fill="auto"/>
                  <w:noWrap w:val="0"/>
                  <w:vAlign w:val="center"/>
                </w:tcPr>
                <w:p w14:paraId="466776F2">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单位</w:t>
                  </w:r>
                </w:p>
              </w:tc>
              <w:tc>
                <w:tcPr>
                  <w:tcW w:w="1240" w:type="pct"/>
                  <w:tcBorders>
                    <w:top w:val="single" w:color="auto" w:sz="8" w:space="0"/>
                    <w:left w:val="nil"/>
                    <w:bottom w:val="single" w:color="auto" w:sz="8" w:space="0"/>
                    <w:right w:val="single" w:color="auto" w:sz="8" w:space="0"/>
                  </w:tcBorders>
                  <w:shd w:val="clear" w:color="auto" w:fill="auto"/>
                  <w:noWrap w:val="0"/>
                  <w:vAlign w:val="center"/>
                </w:tcPr>
                <w:p w14:paraId="051D6A0B">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升压站</w:t>
                  </w:r>
                </w:p>
              </w:tc>
              <w:tc>
                <w:tcPr>
                  <w:tcW w:w="1241" w:type="pct"/>
                  <w:tcBorders>
                    <w:top w:val="single" w:color="auto" w:sz="8" w:space="0"/>
                    <w:left w:val="nil"/>
                    <w:bottom w:val="single" w:color="auto" w:sz="8" w:space="0"/>
                    <w:right w:val="single" w:color="auto" w:sz="8" w:space="0"/>
                  </w:tcBorders>
                  <w:shd w:val="clear" w:color="auto" w:fill="auto"/>
                  <w:noWrap w:val="0"/>
                  <w:vAlign w:val="center"/>
                </w:tcPr>
                <w:p w14:paraId="390ADC8C">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备注</w:t>
                  </w:r>
                </w:p>
              </w:tc>
            </w:tr>
            <w:tr w14:paraId="70C4B7CB">
              <w:tblPrEx>
                <w:tblCellMar>
                  <w:top w:w="0" w:type="dxa"/>
                  <w:left w:w="108" w:type="dxa"/>
                  <w:bottom w:w="0" w:type="dxa"/>
                  <w:right w:w="108" w:type="dxa"/>
                </w:tblCellMar>
              </w:tblPrEx>
              <w:trPr>
                <w:trHeight w:val="433" w:hRule="atLeast"/>
                <w:jc w:val="center"/>
              </w:trPr>
              <w:tc>
                <w:tcPr>
                  <w:tcW w:w="579" w:type="pct"/>
                  <w:tcBorders>
                    <w:top w:val="nil"/>
                    <w:left w:val="single" w:color="auto" w:sz="8" w:space="0"/>
                    <w:bottom w:val="single" w:color="000000" w:sz="8" w:space="0"/>
                    <w:right w:val="single" w:color="auto" w:sz="8" w:space="0"/>
                  </w:tcBorders>
                  <w:shd w:val="clear" w:color="auto" w:fill="auto"/>
                  <w:noWrap w:val="0"/>
                  <w:vAlign w:val="center"/>
                </w:tcPr>
                <w:p w14:paraId="5209FC62">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460" w:type="pct"/>
                  <w:tcBorders>
                    <w:top w:val="nil"/>
                    <w:left w:val="single" w:color="auto" w:sz="8" w:space="0"/>
                    <w:bottom w:val="single" w:color="000000" w:sz="8" w:space="0"/>
                    <w:right w:val="single" w:color="000000" w:sz="8" w:space="0"/>
                  </w:tcBorders>
                  <w:shd w:val="clear" w:color="auto" w:fill="auto"/>
                  <w:noWrap w:val="0"/>
                  <w:vAlign w:val="center"/>
                </w:tcPr>
                <w:p w14:paraId="530589BC">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永久占地面积</w:t>
                  </w:r>
                </w:p>
              </w:tc>
              <w:tc>
                <w:tcPr>
                  <w:tcW w:w="477" w:type="pct"/>
                  <w:tcBorders>
                    <w:top w:val="nil"/>
                    <w:left w:val="nil"/>
                    <w:bottom w:val="single" w:color="auto" w:sz="8" w:space="0"/>
                    <w:right w:val="single" w:color="auto" w:sz="8" w:space="0"/>
                  </w:tcBorders>
                  <w:shd w:val="clear" w:color="auto" w:fill="auto"/>
                  <w:noWrap w:val="0"/>
                  <w:vAlign w:val="center"/>
                </w:tcPr>
                <w:p w14:paraId="536635AF">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0" w:type="pct"/>
                  <w:tcBorders>
                    <w:top w:val="nil"/>
                    <w:left w:val="nil"/>
                    <w:bottom w:val="single" w:color="auto" w:sz="8" w:space="0"/>
                    <w:right w:val="single" w:color="auto" w:sz="8" w:space="0"/>
                  </w:tcBorders>
                  <w:shd w:val="clear" w:color="auto" w:fill="auto"/>
                  <w:noWrap w:val="0"/>
                  <w:vAlign w:val="center"/>
                </w:tcPr>
                <w:p w14:paraId="4510832B">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9962.23</w:t>
                  </w:r>
                </w:p>
              </w:tc>
              <w:tc>
                <w:tcPr>
                  <w:tcW w:w="1241" w:type="pct"/>
                  <w:tcBorders>
                    <w:top w:val="nil"/>
                    <w:left w:val="nil"/>
                    <w:bottom w:val="single" w:color="auto" w:sz="8" w:space="0"/>
                    <w:right w:val="single" w:color="auto" w:sz="8" w:space="0"/>
                  </w:tcBorders>
                  <w:shd w:val="clear" w:color="auto" w:fill="auto"/>
                  <w:noWrap w:val="0"/>
                  <w:vAlign w:val="center"/>
                </w:tcPr>
                <w:p w14:paraId="2A85B074">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不含进站道路</w:t>
                  </w:r>
                </w:p>
              </w:tc>
            </w:tr>
            <w:tr w14:paraId="66F39D43">
              <w:tblPrEx>
                <w:tblCellMar>
                  <w:top w:w="0" w:type="dxa"/>
                  <w:left w:w="108" w:type="dxa"/>
                  <w:bottom w:w="0" w:type="dxa"/>
                  <w:right w:w="108" w:type="dxa"/>
                </w:tblCellMar>
              </w:tblPrEx>
              <w:trPr>
                <w:trHeight w:val="433" w:hRule="atLeast"/>
                <w:jc w:val="center"/>
              </w:trPr>
              <w:tc>
                <w:tcPr>
                  <w:tcW w:w="579" w:type="pct"/>
                  <w:tcBorders>
                    <w:top w:val="nil"/>
                    <w:left w:val="single" w:color="auto" w:sz="8" w:space="0"/>
                    <w:bottom w:val="single" w:color="auto" w:sz="8" w:space="0"/>
                    <w:right w:val="single" w:color="auto" w:sz="8" w:space="0"/>
                  </w:tcBorders>
                  <w:noWrap w:val="0"/>
                  <w:vAlign w:val="center"/>
                </w:tcPr>
                <w:p w14:paraId="5B7BD963">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460" w:type="pct"/>
                  <w:tcBorders>
                    <w:top w:val="single" w:color="auto" w:sz="8" w:space="0"/>
                    <w:left w:val="nil"/>
                    <w:bottom w:val="single" w:color="auto" w:sz="8" w:space="0"/>
                    <w:right w:val="single" w:color="000000" w:sz="8" w:space="0"/>
                  </w:tcBorders>
                  <w:noWrap w:val="0"/>
                  <w:vAlign w:val="center"/>
                </w:tcPr>
                <w:p w14:paraId="5C095582">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主变规模</w:t>
                  </w:r>
                </w:p>
              </w:tc>
              <w:tc>
                <w:tcPr>
                  <w:tcW w:w="477" w:type="pct"/>
                  <w:tcBorders>
                    <w:top w:val="nil"/>
                    <w:left w:val="nil"/>
                    <w:bottom w:val="single" w:color="auto" w:sz="8" w:space="0"/>
                    <w:right w:val="single" w:color="auto" w:sz="8" w:space="0"/>
                  </w:tcBorders>
                  <w:noWrap w:val="0"/>
                  <w:vAlign w:val="center"/>
                </w:tcPr>
                <w:p w14:paraId="20363B54">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MVA</w:t>
                  </w:r>
                </w:p>
              </w:tc>
              <w:tc>
                <w:tcPr>
                  <w:tcW w:w="1240" w:type="pct"/>
                  <w:tcBorders>
                    <w:top w:val="nil"/>
                    <w:left w:val="nil"/>
                    <w:bottom w:val="single" w:color="auto" w:sz="8" w:space="0"/>
                    <w:right w:val="single" w:color="auto" w:sz="8" w:space="0"/>
                  </w:tcBorders>
                  <w:noWrap w:val="0"/>
                  <w:vAlign w:val="center"/>
                </w:tcPr>
                <w:p w14:paraId="666D81A0">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00MVA</w:t>
                  </w:r>
                </w:p>
              </w:tc>
              <w:tc>
                <w:tcPr>
                  <w:tcW w:w="1241" w:type="pct"/>
                  <w:tcBorders>
                    <w:top w:val="nil"/>
                    <w:left w:val="nil"/>
                    <w:bottom w:val="single" w:color="auto" w:sz="8" w:space="0"/>
                    <w:right w:val="single" w:color="auto" w:sz="8" w:space="0"/>
                  </w:tcBorders>
                  <w:noWrap w:val="0"/>
                  <w:vAlign w:val="center"/>
                </w:tcPr>
                <w:p w14:paraId="4D9ED4EC">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0E205100">
              <w:tblPrEx>
                <w:tblCellMar>
                  <w:top w:w="0" w:type="dxa"/>
                  <w:left w:w="108" w:type="dxa"/>
                  <w:bottom w:w="0" w:type="dxa"/>
                  <w:right w:w="108" w:type="dxa"/>
                </w:tblCellMar>
              </w:tblPrEx>
              <w:trPr>
                <w:trHeight w:val="433" w:hRule="atLeast"/>
                <w:jc w:val="center"/>
              </w:trPr>
              <w:tc>
                <w:tcPr>
                  <w:tcW w:w="579" w:type="pct"/>
                  <w:tcBorders>
                    <w:top w:val="nil"/>
                    <w:left w:val="single" w:color="auto" w:sz="8" w:space="0"/>
                    <w:bottom w:val="single" w:color="auto" w:sz="8" w:space="0"/>
                    <w:right w:val="single" w:color="auto" w:sz="8" w:space="0"/>
                  </w:tcBorders>
                  <w:noWrap w:val="0"/>
                  <w:vAlign w:val="center"/>
                </w:tcPr>
                <w:p w14:paraId="19162B6E">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460" w:type="pct"/>
                  <w:tcBorders>
                    <w:top w:val="single" w:color="auto" w:sz="8" w:space="0"/>
                    <w:left w:val="nil"/>
                    <w:bottom w:val="single" w:color="auto" w:sz="8" w:space="0"/>
                    <w:right w:val="single" w:color="000000" w:sz="8" w:space="0"/>
                  </w:tcBorders>
                  <w:noWrap w:val="0"/>
                  <w:vAlign w:val="center"/>
                </w:tcPr>
                <w:p w14:paraId="77045CB5">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总建筑面积</w:t>
                  </w:r>
                </w:p>
              </w:tc>
              <w:tc>
                <w:tcPr>
                  <w:tcW w:w="477" w:type="pct"/>
                  <w:tcBorders>
                    <w:top w:val="nil"/>
                    <w:left w:val="nil"/>
                    <w:bottom w:val="single" w:color="auto" w:sz="8" w:space="0"/>
                    <w:right w:val="single" w:color="auto" w:sz="8" w:space="0"/>
                  </w:tcBorders>
                  <w:noWrap w:val="0"/>
                  <w:vAlign w:val="center"/>
                </w:tcPr>
                <w:p w14:paraId="632EAF57">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0" w:type="pct"/>
                  <w:tcBorders>
                    <w:top w:val="nil"/>
                    <w:left w:val="nil"/>
                    <w:bottom w:val="single" w:color="auto" w:sz="8" w:space="0"/>
                    <w:right w:val="single" w:color="auto" w:sz="8" w:space="0"/>
                  </w:tcBorders>
                  <w:noWrap w:val="0"/>
                  <w:vAlign w:val="center"/>
                </w:tcPr>
                <w:p w14:paraId="7AC6AC4F">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1183.04</w:t>
                  </w:r>
                </w:p>
              </w:tc>
              <w:tc>
                <w:tcPr>
                  <w:tcW w:w="1241" w:type="pct"/>
                  <w:tcBorders>
                    <w:top w:val="nil"/>
                    <w:left w:val="nil"/>
                    <w:bottom w:val="single" w:color="auto" w:sz="8" w:space="0"/>
                    <w:right w:val="single" w:color="auto" w:sz="8" w:space="0"/>
                  </w:tcBorders>
                  <w:noWrap w:val="0"/>
                  <w:vAlign w:val="center"/>
                </w:tcPr>
                <w:p w14:paraId="60B06B57">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016D9EC7">
              <w:tblPrEx>
                <w:tblCellMar>
                  <w:top w:w="0" w:type="dxa"/>
                  <w:left w:w="108" w:type="dxa"/>
                  <w:bottom w:w="0" w:type="dxa"/>
                  <w:right w:w="108" w:type="dxa"/>
                </w:tblCellMar>
              </w:tblPrEx>
              <w:trPr>
                <w:trHeight w:val="433" w:hRule="atLeast"/>
                <w:jc w:val="center"/>
              </w:trPr>
              <w:tc>
                <w:tcPr>
                  <w:tcW w:w="579" w:type="pct"/>
                  <w:tcBorders>
                    <w:top w:val="nil"/>
                    <w:left w:val="single" w:color="auto" w:sz="8" w:space="0"/>
                    <w:bottom w:val="single" w:color="auto" w:sz="8" w:space="0"/>
                    <w:right w:val="single" w:color="auto" w:sz="8" w:space="0"/>
                  </w:tcBorders>
                  <w:noWrap w:val="0"/>
                  <w:vAlign w:val="center"/>
                </w:tcPr>
                <w:p w14:paraId="2DB98D0C">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w:t>
                  </w:r>
                </w:p>
              </w:tc>
              <w:tc>
                <w:tcPr>
                  <w:tcW w:w="1460" w:type="pct"/>
                  <w:tcBorders>
                    <w:top w:val="single" w:color="auto" w:sz="8" w:space="0"/>
                    <w:left w:val="nil"/>
                    <w:bottom w:val="single" w:color="auto" w:sz="8" w:space="0"/>
                    <w:right w:val="single" w:color="000000" w:sz="8" w:space="0"/>
                  </w:tcBorders>
                  <w:noWrap w:val="0"/>
                  <w:vAlign w:val="center"/>
                </w:tcPr>
                <w:p w14:paraId="0FF4CC3D">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综合楼</w:t>
                  </w:r>
                </w:p>
              </w:tc>
              <w:tc>
                <w:tcPr>
                  <w:tcW w:w="477" w:type="pct"/>
                  <w:tcBorders>
                    <w:top w:val="nil"/>
                    <w:left w:val="nil"/>
                    <w:bottom w:val="single" w:color="auto" w:sz="8" w:space="0"/>
                    <w:right w:val="single" w:color="auto" w:sz="8" w:space="0"/>
                  </w:tcBorders>
                  <w:noWrap w:val="0"/>
                  <w:vAlign w:val="center"/>
                </w:tcPr>
                <w:p w14:paraId="041C005C">
                  <w:pPr>
                    <w:tabs>
                      <w:tab w:val="left" w:pos="248"/>
                    </w:tabs>
                    <w:autoSpaceDE w:val="0"/>
                    <w:autoSpaceDN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0" w:type="pct"/>
                  <w:tcBorders>
                    <w:top w:val="nil"/>
                    <w:left w:val="nil"/>
                    <w:bottom w:val="single" w:color="auto" w:sz="8" w:space="0"/>
                    <w:right w:val="single" w:color="auto" w:sz="8" w:space="0"/>
                  </w:tcBorders>
                  <w:noWrap w:val="0"/>
                  <w:vAlign w:val="center"/>
                </w:tcPr>
                <w:p w14:paraId="1A6439F6">
                  <w:pPr>
                    <w:autoSpaceDE w:val="0"/>
                    <w:autoSpaceDN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933.21</w:t>
                  </w:r>
                </w:p>
              </w:tc>
              <w:tc>
                <w:tcPr>
                  <w:tcW w:w="1241" w:type="pct"/>
                  <w:tcBorders>
                    <w:top w:val="nil"/>
                    <w:left w:val="nil"/>
                    <w:bottom w:val="single" w:color="auto" w:sz="8" w:space="0"/>
                    <w:right w:val="single" w:color="auto" w:sz="8" w:space="0"/>
                  </w:tcBorders>
                  <w:noWrap w:val="0"/>
                  <w:vAlign w:val="center"/>
                </w:tcPr>
                <w:p w14:paraId="1934A1FB">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444EF542">
              <w:tblPrEx>
                <w:tblCellMar>
                  <w:top w:w="0" w:type="dxa"/>
                  <w:left w:w="108" w:type="dxa"/>
                  <w:bottom w:w="0" w:type="dxa"/>
                  <w:right w:w="108" w:type="dxa"/>
                </w:tblCellMar>
              </w:tblPrEx>
              <w:trPr>
                <w:trHeight w:val="433" w:hRule="atLeast"/>
                <w:jc w:val="center"/>
              </w:trPr>
              <w:tc>
                <w:tcPr>
                  <w:tcW w:w="579" w:type="pct"/>
                  <w:tcBorders>
                    <w:top w:val="nil"/>
                    <w:left w:val="single" w:color="auto" w:sz="8" w:space="0"/>
                    <w:bottom w:val="single" w:color="auto" w:sz="8" w:space="0"/>
                    <w:right w:val="single" w:color="auto" w:sz="8" w:space="0"/>
                  </w:tcBorders>
                  <w:noWrap w:val="0"/>
                  <w:vAlign w:val="center"/>
                </w:tcPr>
                <w:p w14:paraId="1753DF15">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w:t>
                  </w:r>
                </w:p>
              </w:tc>
              <w:tc>
                <w:tcPr>
                  <w:tcW w:w="1460" w:type="pct"/>
                  <w:tcBorders>
                    <w:top w:val="single" w:color="auto" w:sz="8" w:space="0"/>
                    <w:left w:val="nil"/>
                    <w:bottom w:val="single" w:color="auto" w:sz="8" w:space="0"/>
                    <w:right w:val="single" w:color="000000" w:sz="8" w:space="0"/>
                  </w:tcBorders>
                  <w:noWrap w:val="0"/>
                  <w:vAlign w:val="center"/>
                </w:tcPr>
                <w:p w14:paraId="01A7ED7E">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附属用房</w:t>
                  </w:r>
                </w:p>
              </w:tc>
              <w:tc>
                <w:tcPr>
                  <w:tcW w:w="477" w:type="pct"/>
                  <w:tcBorders>
                    <w:top w:val="nil"/>
                    <w:left w:val="nil"/>
                    <w:bottom w:val="single" w:color="auto" w:sz="8" w:space="0"/>
                    <w:right w:val="single" w:color="auto" w:sz="8" w:space="0"/>
                  </w:tcBorders>
                  <w:noWrap w:val="0"/>
                  <w:vAlign w:val="center"/>
                </w:tcPr>
                <w:p w14:paraId="12732F8B">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0" w:type="pct"/>
                  <w:tcBorders>
                    <w:top w:val="nil"/>
                    <w:left w:val="nil"/>
                    <w:bottom w:val="single" w:color="auto" w:sz="8" w:space="0"/>
                    <w:right w:val="single" w:color="auto" w:sz="8" w:space="0"/>
                  </w:tcBorders>
                  <w:noWrap w:val="0"/>
                  <w:vAlign w:val="center"/>
                </w:tcPr>
                <w:p w14:paraId="4EA0A23C">
                  <w:pPr>
                    <w:autoSpaceDE w:val="0"/>
                    <w:autoSpaceDN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210.51</w:t>
                  </w:r>
                </w:p>
              </w:tc>
              <w:tc>
                <w:tcPr>
                  <w:tcW w:w="1241" w:type="pct"/>
                  <w:tcBorders>
                    <w:top w:val="nil"/>
                    <w:left w:val="nil"/>
                    <w:bottom w:val="single" w:color="auto" w:sz="8" w:space="0"/>
                    <w:right w:val="single" w:color="auto" w:sz="8" w:space="0"/>
                  </w:tcBorders>
                  <w:noWrap w:val="0"/>
                  <w:vAlign w:val="center"/>
                </w:tcPr>
                <w:p w14:paraId="5328074F">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630DF7A9">
              <w:tblPrEx>
                <w:tblCellMar>
                  <w:top w:w="0" w:type="dxa"/>
                  <w:left w:w="108" w:type="dxa"/>
                  <w:bottom w:w="0" w:type="dxa"/>
                  <w:right w:w="108" w:type="dxa"/>
                </w:tblCellMar>
              </w:tblPrEx>
              <w:trPr>
                <w:trHeight w:val="433" w:hRule="atLeast"/>
                <w:jc w:val="center"/>
              </w:trPr>
              <w:tc>
                <w:tcPr>
                  <w:tcW w:w="579" w:type="pct"/>
                  <w:tcBorders>
                    <w:top w:val="nil"/>
                    <w:left w:val="single" w:color="auto" w:sz="8" w:space="0"/>
                    <w:bottom w:val="single" w:color="auto" w:sz="8" w:space="0"/>
                    <w:right w:val="single" w:color="auto" w:sz="8" w:space="0"/>
                  </w:tcBorders>
                  <w:noWrap w:val="0"/>
                  <w:vAlign w:val="center"/>
                </w:tcPr>
                <w:p w14:paraId="706828D0">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w:t>
                  </w:r>
                </w:p>
              </w:tc>
              <w:tc>
                <w:tcPr>
                  <w:tcW w:w="1460" w:type="pct"/>
                  <w:tcBorders>
                    <w:top w:val="single" w:color="auto" w:sz="8" w:space="0"/>
                    <w:left w:val="nil"/>
                    <w:bottom w:val="single" w:color="auto" w:sz="8" w:space="0"/>
                    <w:right w:val="single" w:color="000000" w:sz="8" w:space="0"/>
                  </w:tcBorders>
                  <w:noWrap w:val="0"/>
                  <w:vAlign w:val="center"/>
                </w:tcPr>
                <w:p w14:paraId="5BDF4849">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危废暂存间</w:t>
                  </w:r>
                </w:p>
              </w:tc>
              <w:tc>
                <w:tcPr>
                  <w:tcW w:w="477" w:type="pct"/>
                  <w:tcBorders>
                    <w:top w:val="nil"/>
                    <w:left w:val="nil"/>
                    <w:bottom w:val="single" w:color="auto" w:sz="8" w:space="0"/>
                    <w:right w:val="single" w:color="auto" w:sz="8" w:space="0"/>
                  </w:tcBorders>
                  <w:noWrap w:val="0"/>
                  <w:vAlign w:val="center"/>
                </w:tcPr>
                <w:p w14:paraId="1E9D0295">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0" w:type="pct"/>
                  <w:tcBorders>
                    <w:top w:val="nil"/>
                    <w:left w:val="nil"/>
                    <w:bottom w:val="single" w:color="auto" w:sz="8" w:space="0"/>
                    <w:right w:val="single" w:color="auto" w:sz="8" w:space="0"/>
                  </w:tcBorders>
                  <w:noWrap w:val="0"/>
                  <w:vAlign w:val="center"/>
                </w:tcPr>
                <w:p w14:paraId="7883D791">
                  <w:pPr>
                    <w:autoSpaceDE w:val="0"/>
                    <w:autoSpaceDN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39.32</w:t>
                  </w:r>
                </w:p>
              </w:tc>
              <w:tc>
                <w:tcPr>
                  <w:tcW w:w="1241" w:type="pct"/>
                  <w:tcBorders>
                    <w:top w:val="nil"/>
                    <w:left w:val="nil"/>
                    <w:bottom w:val="single" w:color="auto" w:sz="8" w:space="0"/>
                    <w:right w:val="single" w:color="auto" w:sz="8" w:space="0"/>
                  </w:tcBorders>
                  <w:noWrap w:val="0"/>
                  <w:vAlign w:val="center"/>
                </w:tcPr>
                <w:p w14:paraId="13F8823D">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551F97AD">
              <w:tblPrEx>
                <w:tblCellMar>
                  <w:top w:w="0" w:type="dxa"/>
                  <w:left w:w="108" w:type="dxa"/>
                  <w:bottom w:w="0" w:type="dxa"/>
                  <w:right w:w="108" w:type="dxa"/>
                </w:tblCellMar>
              </w:tblPrEx>
              <w:trPr>
                <w:trHeight w:val="457" w:hRule="atLeast"/>
                <w:jc w:val="center"/>
              </w:trPr>
              <w:tc>
                <w:tcPr>
                  <w:tcW w:w="579" w:type="pct"/>
                  <w:tcBorders>
                    <w:top w:val="nil"/>
                    <w:left w:val="single" w:color="auto" w:sz="8" w:space="0"/>
                    <w:bottom w:val="single" w:color="auto" w:sz="8" w:space="0"/>
                    <w:right w:val="single" w:color="auto" w:sz="8" w:space="0"/>
                  </w:tcBorders>
                  <w:noWrap w:val="0"/>
                  <w:vAlign w:val="center"/>
                </w:tcPr>
                <w:p w14:paraId="61AAB72F">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460" w:type="pct"/>
                  <w:tcBorders>
                    <w:top w:val="single" w:color="auto" w:sz="8" w:space="0"/>
                    <w:left w:val="nil"/>
                    <w:bottom w:val="single" w:color="auto" w:sz="8" w:space="0"/>
                    <w:right w:val="single" w:color="000000" w:sz="8" w:space="0"/>
                  </w:tcBorders>
                  <w:noWrap w:val="0"/>
                  <w:vAlign w:val="center"/>
                </w:tcPr>
                <w:p w14:paraId="69E78B3A">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总</w:t>
                  </w:r>
                  <w:r>
                    <w:rPr>
                      <w:rFonts w:hint="default" w:ascii="Times New Roman" w:hAnsi="Times New Roman" w:eastAsia="宋体" w:cs="Times New Roman"/>
                      <w:color w:val="auto"/>
                      <w:kern w:val="0"/>
                      <w:sz w:val="21"/>
                      <w:szCs w:val="21"/>
                      <w:highlight w:val="none"/>
                    </w:rPr>
                    <w:t>投资</w:t>
                  </w:r>
                </w:p>
              </w:tc>
              <w:tc>
                <w:tcPr>
                  <w:tcW w:w="477" w:type="pct"/>
                  <w:tcBorders>
                    <w:top w:val="nil"/>
                    <w:left w:val="nil"/>
                    <w:bottom w:val="single" w:color="auto" w:sz="8" w:space="0"/>
                    <w:right w:val="single" w:color="auto" w:sz="8" w:space="0"/>
                  </w:tcBorders>
                  <w:noWrap w:val="0"/>
                  <w:vAlign w:val="center"/>
                </w:tcPr>
                <w:p w14:paraId="59B921E3">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万元</w:t>
                  </w:r>
                </w:p>
              </w:tc>
              <w:tc>
                <w:tcPr>
                  <w:tcW w:w="1240" w:type="pct"/>
                  <w:tcBorders>
                    <w:top w:val="nil"/>
                    <w:left w:val="nil"/>
                    <w:bottom w:val="single" w:color="auto" w:sz="8" w:space="0"/>
                    <w:right w:val="single" w:color="auto" w:sz="8" w:space="0"/>
                  </w:tcBorders>
                  <w:noWrap w:val="0"/>
                  <w:vAlign w:val="center"/>
                </w:tcPr>
                <w:p w14:paraId="1A4D6E31">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1379</w:t>
                  </w:r>
                </w:p>
              </w:tc>
              <w:tc>
                <w:tcPr>
                  <w:tcW w:w="1241" w:type="pct"/>
                  <w:tcBorders>
                    <w:top w:val="nil"/>
                    <w:left w:val="nil"/>
                    <w:bottom w:val="single" w:color="auto" w:sz="8" w:space="0"/>
                    <w:right w:val="single" w:color="auto" w:sz="8" w:space="0"/>
                  </w:tcBorders>
                  <w:noWrap w:val="0"/>
                  <w:vAlign w:val="center"/>
                </w:tcPr>
                <w:p w14:paraId="316A25C2">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bl>
          <w:p w14:paraId="35C86DEF">
            <w:pPr>
              <w:pStyle w:val="23"/>
              <w:keepNext w:val="0"/>
              <w:keepLines w:val="0"/>
              <w:pageBreakBefore w:val="0"/>
              <w:widowControl/>
              <w:kinsoku/>
              <w:wordWrap/>
              <w:overflowPunct/>
              <w:topLinePunct w:val="0"/>
              <w:autoSpaceDE/>
              <w:autoSpaceDN/>
              <w:bidi w:val="0"/>
              <w:adjustRightInd w:val="0"/>
              <w:snapToGrid/>
              <w:spacing w:before="0" w:after="0" w:line="360" w:lineRule="auto"/>
              <w:ind w:right="0"/>
              <w:jc w:val="left"/>
              <w:textAlignment w:val="auto"/>
              <w:rPr>
                <w:rFonts w:hint="default" w:ascii="Times New Roman" w:hAnsi="Times New Roman" w:eastAsia="宋体" w:cs="Times New Roman"/>
                <w:b/>
                <w:color w:val="auto"/>
                <w:sz w:val="24"/>
                <w:szCs w:val="24"/>
                <w:highlight w:val="none"/>
              </w:rPr>
            </w:pPr>
            <w:bookmarkStart w:id="74" w:name="_Toc21654"/>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bookmarkStart w:id="75" w:name="_Toc21358"/>
            <w:bookmarkStart w:id="76" w:name="_Toc22412"/>
            <w:r>
              <w:rPr>
                <w:rFonts w:hint="default" w:ascii="Times New Roman" w:hAnsi="Times New Roman" w:eastAsia="宋体" w:cs="Times New Roman"/>
                <w:b/>
                <w:color w:val="auto"/>
                <w:sz w:val="24"/>
                <w:szCs w:val="24"/>
                <w:highlight w:val="none"/>
              </w:rPr>
              <w:t>主要设备选型</w:t>
            </w:r>
            <w:bookmarkEnd w:id="74"/>
          </w:p>
          <w:p w14:paraId="1972D94E">
            <w:pPr>
              <w:pStyle w:val="23"/>
              <w:adjustRightInd w:val="0"/>
              <w:snapToGrid/>
              <w:spacing w:before="0" w:after="0" w:line="360" w:lineRule="auto"/>
              <w:ind w:right="0"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bookmarkStart w:id="77" w:name="_Toc23292"/>
            <w:bookmarkStart w:id="78" w:name="_Toc30455"/>
            <w:bookmarkStart w:id="79" w:name="_Toc22524"/>
            <w:bookmarkStart w:id="80" w:name="_Toc25814"/>
            <w:r>
              <w:rPr>
                <w:rFonts w:hint="default" w:ascii="Times New Roman" w:hAnsi="Times New Roman" w:eastAsia="宋体" w:cs="Times New Roman"/>
                <w:b w:val="0"/>
                <w:bCs w:val="0"/>
                <w:color w:val="auto"/>
                <w:kern w:val="2"/>
                <w:sz w:val="24"/>
                <w:szCs w:val="24"/>
                <w:highlight w:val="none"/>
                <w:lang w:val="en-US" w:eastAsia="zh-CN" w:bidi="ar-SA"/>
              </w:rPr>
              <w:t>根据现场调查，升压站已建主要设备基本参数见下表：</w:t>
            </w:r>
            <w:bookmarkEnd w:id="77"/>
            <w:bookmarkEnd w:id="78"/>
            <w:bookmarkEnd w:id="79"/>
            <w:bookmarkEnd w:id="80"/>
            <w:bookmarkStart w:id="81" w:name="_Toc5514"/>
            <w:bookmarkStart w:id="82" w:name="_Toc5124"/>
          </w:p>
          <w:p w14:paraId="32F9F8BC">
            <w:pPr>
              <w:pStyle w:val="251"/>
              <w:spacing w:before="0" w:beforeLines="0" w:line="240" w:lineRule="auto"/>
              <w:rPr>
                <w:rFonts w:hint="default" w:ascii="Times New Roman" w:hAnsi="Times New Roman" w:eastAsia="宋体" w:cs="Times New Roman"/>
                <w:b/>
                <w:bCs/>
                <w:color w:val="auto"/>
                <w:sz w:val="24"/>
                <w:szCs w:val="24"/>
                <w:highlight w:val="none"/>
              </w:rPr>
            </w:pPr>
            <w:bookmarkStart w:id="83" w:name="_Toc21238"/>
            <w:bookmarkStart w:id="84" w:name="_Toc855"/>
            <w:bookmarkStart w:id="85" w:name="_Toc2470"/>
            <w:bookmarkStart w:id="86" w:name="_Toc3574"/>
            <w:bookmarkStart w:id="87" w:name="_Toc32401"/>
            <w:bookmarkStart w:id="88" w:name="_Toc8172"/>
            <w:bookmarkStart w:id="89" w:name="_Toc28899"/>
            <w:bookmarkStart w:id="90" w:name="_Toc1201"/>
            <w:bookmarkStart w:id="91" w:name="_Toc18445"/>
            <w:r>
              <w:rPr>
                <w:rFonts w:hint="default" w:ascii="Times New Roman" w:hAnsi="Times New Roman" w:eastAsia="宋体" w:cs="Times New Roman"/>
                <w:b/>
                <w:bCs/>
                <w:color w:val="auto"/>
                <w:sz w:val="24"/>
                <w:szCs w:val="24"/>
                <w:highlight w:val="none"/>
              </w:rPr>
              <w:t>表2-</w:t>
            </w:r>
            <w:r>
              <w:rPr>
                <w:rFonts w:hint="default" w:ascii="Times New Roman" w:hAnsi="Times New Roman" w:eastAsia="宋体" w:cs="Times New Roman"/>
                <w:b/>
                <w:bCs/>
                <w:color w:val="auto"/>
                <w:sz w:val="24"/>
                <w:szCs w:val="24"/>
                <w:highlight w:val="none"/>
                <w:lang w:val="en-US" w:eastAsia="zh-CN"/>
              </w:rPr>
              <w:t>4  本项目主要设备</w:t>
            </w:r>
            <w:r>
              <w:rPr>
                <w:rFonts w:hint="default" w:ascii="Times New Roman" w:hAnsi="Times New Roman" w:eastAsia="宋体" w:cs="Times New Roman"/>
                <w:b/>
                <w:bCs/>
                <w:color w:val="auto"/>
                <w:sz w:val="24"/>
                <w:szCs w:val="24"/>
                <w:highlight w:val="none"/>
              </w:rPr>
              <w:t>基本参数表</w:t>
            </w:r>
            <w:bookmarkEnd w:id="81"/>
            <w:bookmarkEnd w:id="82"/>
            <w:bookmarkEnd w:id="83"/>
            <w:bookmarkEnd w:id="84"/>
            <w:bookmarkEnd w:id="85"/>
            <w:bookmarkEnd w:id="86"/>
            <w:bookmarkEnd w:id="87"/>
            <w:bookmarkEnd w:id="88"/>
            <w:bookmarkEnd w:id="89"/>
            <w:bookmarkEnd w:id="90"/>
            <w:bookmarkEnd w:id="91"/>
          </w:p>
          <w:tbl>
            <w:tblPr>
              <w:tblStyle w:val="49"/>
              <w:tblW w:w="8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95"/>
              <w:gridCol w:w="5711"/>
              <w:gridCol w:w="827"/>
            </w:tblGrid>
            <w:tr w14:paraId="5D1C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42" w:type="pct"/>
                  <w:vAlign w:val="center"/>
                </w:tcPr>
                <w:p w14:paraId="6FFDFCA8">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668" w:type="pct"/>
                  <w:vAlign w:val="center"/>
                </w:tcPr>
                <w:p w14:paraId="267441BF">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3484" w:type="pct"/>
                  <w:vAlign w:val="center"/>
                </w:tcPr>
                <w:p w14:paraId="7F920799">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设备型号及主要参数</w:t>
                  </w:r>
                </w:p>
              </w:tc>
              <w:tc>
                <w:tcPr>
                  <w:tcW w:w="504" w:type="pct"/>
                </w:tcPr>
                <w:p w14:paraId="233A477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04FC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342" w:type="pct"/>
                  <w:vAlign w:val="center"/>
                </w:tcPr>
                <w:p w14:paraId="6E65212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668" w:type="pct"/>
                  <w:vAlign w:val="center"/>
                </w:tcPr>
                <w:p w14:paraId="6EE013A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主变压器</w:t>
                  </w:r>
                </w:p>
              </w:tc>
              <w:tc>
                <w:tcPr>
                  <w:tcW w:w="3484" w:type="pct"/>
                  <w:vAlign w:val="center"/>
                </w:tcPr>
                <w:p w14:paraId="48FABAF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变压器</w:t>
                  </w:r>
                  <w:r>
                    <w:rPr>
                      <w:rFonts w:hint="default" w:ascii="Times New Roman" w:hAnsi="Times New Roman" w:eastAsia="宋体" w:cs="Times New Roman"/>
                      <w:color w:val="auto"/>
                      <w:sz w:val="21"/>
                      <w:szCs w:val="21"/>
                      <w:highlight w:val="none"/>
                    </w:rPr>
                    <w:t>采用</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台</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00MVA油浸三相双绕组有载调压风冷升压变压器，额定容量</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00MVA，型号SZ18-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00000/220kV</w:t>
                  </w:r>
                  <w:r>
                    <w:rPr>
                      <w:rFonts w:hint="default" w:ascii="Times New Roman" w:hAnsi="Times New Roman" w:eastAsia="宋体" w:cs="Times New Roman"/>
                      <w:color w:val="auto"/>
                      <w:sz w:val="21"/>
                      <w:szCs w:val="21"/>
                      <w:highlight w:val="none"/>
                      <w:lang w:val="en-US" w:eastAsia="zh-CN"/>
                    </w:rPr>
                    <w:t>。</w:t>
                  </w:r>
                </w:p>
                <w:p w14:paraId="378EB29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规格：SFZ18-200000/220，230±8×1.25%/37kV，</w:t>
                  </w:r>
                </w:p>
                <w:p w14:paraId="0D76EFC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200000kVA，Ud=14%，YN,d11</w:t>
                  </w:r>
                </w:p>
              </w:tc>
              <w:tc>
                <w:tcPr>
                  <w:tcW w:w="504" w:type="pct"/>
                  <w:vAlign w:val="center"/>
                </w:tcPr>
                <w:p w14:paraId="3CC69AB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05C1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42" w:type="pct"/>
                  <w:vMerge w:val="restart"/>
                  <w:tcBorders>
                    <w:top w:val="nil"/>
                  </w:tcBorders>
                  <w:vAlign w:val="center"/>
                </w:tcPr>
                <w:p w14:paraId="4AC38A8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668" w:type="pct"/>
                  <w:vMerge w:val="restart"/>
                  <w:vAlign w:val="center"/>
                </w:tcPr>
                <w:p w14:paraId="4AD00A0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22</w:t>
                  </w:r>
                  <w:r>
                    <w:rPr>
                      <w:rFonts w:hint="default" w:ascii="Times New Roman" w:hAnsi="Times New Roman" w:eastAsia="宋体" w:cs="Times New Roman"/>
                      <w:b w:val="0"/>
                      <w:bCs w:val="0"/>
                      <w:color w:val="auto"/>
                      <w:sz w:val="21"/>
                      <w:szCs w:val="21"/>
                      <w:highlight w:val="none"/>
                    </w:rPr>
                    <w:t>0</w:t>
                  </w:r>
                  <w:r>
                    <w:rPr>
                      <w:rFonts w:hint="default" w:ascii="Times New Roman" w:hAnsi="Times New Roman" w:eastAsia="宋体" w:cs="Times New Roman"/>
                      <w:b w:val="0"/>
                      <w:bCs w:val="0"/>
                      <w:color w:val="auto"/>
                      <w:sz w:val="21"/>
                      <w:szCs w:val="21"/>
                      <w:highlight w:val="none"/>
                      <w:lang w:eastAsia="zh-CN"/>
                    </w:rPr>
                    <w:t>kV</w:t>
                  </w:r>
                  <w:r>
                    <w:rPr>
                      <w:rFonts w:hint="default" w:ascii="Times New Roman" w:hAnsi="Times New Roman" w:eastAsia="宋体" w:cs="Times New Roman"/>
                      <w:b w:val="0"/>
                      <w:bCs w:val="0"/>
                      <w:color w:val="auto"/>
                      <w:sz w:val="21"/>
                      <w:szCs w:val="21"/>
                      <w:highlight w:val="none"/>
                      <w:lang w:val="en-US" w:eastAsia="zh-CN"/>
                    </w:rPr>
                    <w:t>配电装置</w:t>
                  </w:r>
                </w:p>
              </w:tc>
              <w:tc>
                <w:tcPr>
                  <w:tcW w:w="3484" w:type="pct"/>
                  <w:vAlign w:val="center"/>
                </w:tcPr>
                <w:p w14:paraId="7CA8A323">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rPr>
                    <w:t>户</w:t>
                  </w:r>
                  <w:r>
                    <w:rPr>
                      <w:rFonts w:hint="default" w:ascii="Times New Roman" w:hAnsi="Times New Roman" w:eastAsia="宋体" w:cs="Times New Roman"/>
                      <w:color w:val="auto"/>
                      <w:sz w:val="21"/>
                      <w:szCs w:val="21"/>
                      <w:highlight w:val="none"/>
                      <w:lang w:val="en-US" w:eastAsia="zh-CN"/>
                    </w:rPr>
                    <w:t>外</w:t>
                  </w:r>
                  <w:r>
                    <w:rPr>
                      <w:rFonts w:hint="default" w:ascii="Times New Roman" w:hAnsi="Times New Roman" w:eastAsia="宋体" w:cs="Times New Roman"/>
                      <w:color w:val="auto"/>
                      <w:sz w:val="21"/>
                      <w:szCs w:val="21"/>
                      <w:highlight w:val="none"/>
                    </w:rPr>
                    <w:t>GIS成套配电装置</w:t>
                  </w:r>
                  <w:r>
                    <w:rPr>
                      <w:rFonts w:hint="default" w:ascii="Times New Roman" w:hAnsi="Times New Roman" w:eastAsia="宋体" w:cs="Times New Roman"/>
                      <w:color w:val="auto"/>
                      <w:spacing w:val="0"/>
                      <w:highlight w:val="none"/>
                    </w:rPr>
                    <w:t>作为本工程220kV配电装置</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包含主变进线间隔1个、PT 间隔1个、出线间隔2个</w:t>
                  </w:r>
                  <w:r>
                    <w:rPr>
                      <w:rFonts w:hint="default" w:ascii="Times New Roman" w:hAnsi="Times New Roman" w:eastAsia="宋体" w:cs="Times New Roman"/>
                      <w:color w:val="auto"/>
                      <w:sz w:val="21"/>
                      <w:szCs w:val="21"/>
                      <w:highlight w:val="none"/>
                      <w:lang w:eastAsia="zh-CN"/>
                    </w:rPr>
                    <w:t>。</w:t>
                  </w:r>
                </w:p>
              </w:tc>
              <w:tc>
                <w:tcPr>
                  <w:tcW w:w="504" w:type="pct"/>
                  <w:vMerge w:val="restart"/>
                  <w:vAlign w:val="center"/>
                </w:tcPr>
                <w:p w14:paraId="0042507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2BA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vMerge w:val="continue"/>
                  <w:vAlign w:val="center"/>
                </w:tcPr>
                <w:p w14:paraId="62F27AF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746B3A5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7D6DBF9F">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SF6 断路器：252kV，4000A，125kA，50kA/3s</w:t>
                  </w:r>
                </w:p>
              </w:tc>
              <w:tc>
                <w:tcPr>
                  <w:tcW w:w="504" w:type="pct"/>
                  <w:vMerge w:val="continue"/>
                  <w:vAlign w:val="center"/>
                </w:tcPr>
                <w:p w14:paraId="23F0541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1D1F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vMerge w:val="continue"/>
                  <w:vAlign w:val="center"/>
                </w:tcPr>
                <w:p w14:paraId="5D1CA4A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4B4933E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4ACA3A59">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三工位隔离接地开关：252kV，4000A，125kA，50kA/3s</w:t>
                  </w:r>
                </w:p>
              </w:tc>
              <w:tc>
                <w:tcPr>
                  <w:tcW w:w="504" w:type="pct"/>
                  <w:vMerge w:val="continue"/>
                  <w:vAlign w:val="center"/>
                </w:tcPr>
                <w:p w14:paraId="37F37BD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38E4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42" w:type="pct"/>
                  <w:vMerge w:val="continue"/>
                  <w:vAlign w:val="center"/>
                </w:tcPr>
                <w:p w14:paraId="2B161CC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73C24BA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21F2AA02">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快速接地开关：252kV，125kA，50kA/3s</w:t>
                  </w:r>
                </w:p>
              </w:tc>
              <w:tc>
                <w:tcPr>
                  <w:tcW w:w="504" w:type="pct"/>
                  <w:vMerge w:val="continue"/>
                  <w:vAlign w:val="center"/>
                </w:tcPr>
                <w:p w14:paraId="11C568E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4307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42" w:type="pct"/>
                  <w:vMerge w:val="continue"/>
                  <w:vAlign w:val="center"/>
                </w:tcPr>
                <w:p w14:paraId="7072E28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68D6B19F">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241B4DC0">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检修接地开关：252kV，125kA，50kA/3s</w:t>
                  </w:r>
                </w:p>
              </w:tc>
              <w:tc>
                <w:tcPr>
                  <w:tcW w:w="504" w:type="pct"/>
                  <w:vMerge w:val="continue"/>
                  <w:vAlign w:val="center"/>
                </w:tcPr>
                <w:p w14:paraId="67392DB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07F3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42" w:type="pct"/>
                  <w:vMerge w:val="continue"/>
                  <w:vAlign w:val="center"/>
                </w:tcPr>
                <w:p w14:paraId="4CC8177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3051D5C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3930063E">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电流互感器：220kV，500~1600/1A</w:t>
                  </w:r>
                </w:p>
              </w:tc>
              <w:tc>
                <w:tcPr>
                  <w:tcW w:w="504" w:type="pct"/>
                  <w:vMerge w:val="continue"/>
                  <w:vAlign w:val="center"/>
                </w:tcPr>
                <w:p w14:paraId="1C50A89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5EFB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42" w:type="pct"/>
                  <w:vMerge w:val="continue"/>
                  <w:vAlign w:val="center"/>
                </w:tcPr>
                <w:p w14:paraId="5447BBA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0250567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7CC5A21F">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氧化锌避雷器：Y10W-204/532，204kV</w:t>
                  </w:r>
                </w:p>
              </w:tc>
              <w:tc>
                <w:tcPr>
                  <w:tcW w:w="504" w:type="pct"/>
                  <w:vMerge w:val="continue"/>
                  <w:vAlign w:val="center"/>
                </w:tcPr>
                <w:p w14:paraId="385EA8F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15C2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42" w:type="pct"/>
                  <w:vMerge w:val="continue"/>
                  <w:vAlign w:val="center"/>
                </w:tcPr>
                <w:p w14:paraId="2E117E53">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630D023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4" w:type="pct"/>
                  <w:vAlign w:val="center"/>
                </w:tcPr>
                <w:p w14:paraId="39779576">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出线电压互感器：TYD-220/</w:t>
                  </w: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sz w:val="21"/>
                      <w:szCs w:val="21"/>
                      <w:highlight w:val="none"/>
                      <w:lang w:val="en-US" w:eastAsia="zh-CN"/>
                    </w:rPr>
                    <w:t>-0.05H，220kV，220/</w:t>
                  </w: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3/0.1kV，0.2/3P</w:t>
                  </w:r>
                </w:p>
              </w:tc>
              <w:tc>
                <w:tcPr>
                  <w:tcW w:w="504" w:type="pct"/>
                  <w:vMerge w:val="continue"/>
                  <w:vAlign w:val="center"/>
                </w:tcPr>
                <w:p w14:paraId="0E8C2D6B">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5466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342" w:type="pct"/>
                  <w:vAlign w:val="center"/>
                </w:tcPr>
                <w:p w14:paraId="0BD716A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w:t>
                  </w:r>
                </w:p>
              </w:tc>
              <w:tc>
                <w:tcPr>
                  <w:tcW w:w="668" w:type="pct"/>
                  <w:vAlign w:val="center"/>
                </w:tcPr>
                <w:p w14:paraId="7A37245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35</w:t>
                  </w:r>
                  <w:r>
                    <w:rPr>
                      <w:rFonts w:hint="default" w:ascii="Times New Roman" w:hAnsi="Times New Roman" w:eastAsia="宋体" w:cs="Times New Roman"/>
                      <w:b w:val="0"/>
                      <w:bCs w:val="0"/>
                      <w:color w:val="auto"/>
                      <w:sz w:val="21"/>
                      <w:szCs w:val="21"/>
                      <w:highlight w:val="none"/>
                      <w:lang w:eastAsia="zh-CN"/>
                    </w:rPr>
                    <w:t>kV</w:t>
                  </w:r>
                  <w:r>
                    <w:rPr>
                      <w:rFonts w:hint="default" w:ascii="Times New Roman" w:hAnsi="Times New Roman" w:eastAsia="宋体" w:cs="Times New Roman"/>
                      <w:b w:val="0"/>
                      <w:bCs w:val="0"/>
                      <w:color w:val="auto"/>
                      <w:sz w:val="21"/>
                      <w:szCs w:val="21"/>
                      <w:highlight w:val="none"/>
                      <w:lang w:val="en-US" w:eastAsia="zh-CN"/>
                    </w:rPr>
                    <w:t>配电装置</w:t>
                  </w:r>
                </w:p>
              </w:tc>
              <w:tc>
                <w:tcPr>
                  <w:tcW w:w="3484" w:type="pct"/>
                  <w:vAlign w:val="center"/>
                </w:tcPr>
                <w:p w14:paraId="43A33FC3">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rPr>
                    <w:t>35kV户内气体绝缘金属封闭高压开关柜</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35kV配电柜主要技术参数如下：</w:t>
                  </w:r>
                </w:p>
                <w:p w14:paraId="65337927">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型号：充气柜</w:t>
                  </w:r>
                </w:p>
                <w:p w14:paraId="1C13B18C">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额定电压：35kV</w:t>
                  </w:r>
                </w:p>
                <w:p w14:paraId="0A2960A8">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额定工作电流：2500A(主母线、主变柜)</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1250A(馈线柜)</w:t>
                  </w:r>
                </w:p>
                <w:p w14:paraId="73891E4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额定频率：50H</w:t>
                  </w:r>
                  <w:r>
                    <w:rPr>
                      <w:rFonts w:hint="default" w:ascii="Times New Roman" w:hAnsi="Times New Roman" w:eastAsia="宋体" w:cs="Times New Roman"/>
                      <w:color w:val="auto"/>
                      <w:sz w:val="21"/>
                      <w:szCs w:val="21"/>
                      <w:highlight w:val="none"/>
                      <w:lang w:val="en-US" w:eastAsia="zh-CN"/>
                    </w:rPr>
                    <w:t>z</w:t>
                  </w:r>
                </w:p>
                <w:p w14:paraId="27D229A1">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额定短路开断电流：31.5kA</w:t>
                  </w:r>
                </w:p>
                <w:p w14:paraId="61334CCC">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额定短时耐受电流：31.5kA(4s)</w:t>
                  </w:r>
                </w:p>
                <w:p w14:paraId="4196D764">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额定动稳定电流：80kA</w:t>
                  </w:r>
                </w:p>
              </w:tc>
              <w:tc>
                <w:tcPr>
                  <w:tcW w:w="504" w:type="pct"/>
                  <w:vAlign w:val="center"/>
                </w:tcPr>
                <w:p w14:paraId="49FEC07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r>
            <w:tr w14:paraId="331E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jc w:val="center"/>
              </w:trPr>
              <w:tc>
                <w:tcPr>
                  <w:tcW w:w="342" w:type="pct"/>
                  <w:vAlign w:val="center"/>
                </w:tcPr>
                <w:p w14:paraId="349C3FA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92" w:name="_Toc22598"/>
                  <w:r>
                    <w:rPr>
                      <w:rFonts w:hint="default" w:ascii="Times New Roman" w:hAnsi="Times New Roman" w:eastAsia="宋体" w:cs="Times New Roman"/>
                      <w:b w:val="0"/>
                      <w:bCs w:val="0"/>
                      <w:color w:val="auto"/>
                      <w:sz w:val="21"/>
                      <w:szCs w:val="21"/>
                      <w:highlight w:val="none"/>
                      <w:lang w:val="en-US" w:eastAsia="zh-CN"/>
                    </w:rPr>
                    <w:t>4</w:t>
                  </w:r>
                </w:p>
              </w:tc>
              <w:tc>
                <w:tcPr>
                  <w:tcW w:w="668" w:type="pct"/>
                  <w:vAlign w:val="center"/>
                </w:tcPr>
                <w:p w14:paraId="31B47FA3">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无功补偿</w:t>
                  </w:r>
                  <w:r>
                    <w:rPr>
                      <w:rFonts w:hint="default" w:ascii="Times New Roman" w:hAnsi="Times New Roman" w:eastAsia="宋体" w:cs="Times New Roman"/>
                      <w:b w:val="0"/>
                      <w:bCs w:val="0"/>
                      <w:color w:val="auto"/>
                      <w:sz w:val="21"/>
                      <w:szCs w:val="21"/>
                      <w:highlight w:val="none"/>
                      <w:lang w:val="en-US" w:eastAsia="zh-CN"/>
                    </w:rPr>
                    <w:t>系统</w:t>
                  </w:r>
                </w:p>
              </w:tc>
              <w:tc>
                <w:tcPr>
                  <w:tcW w:w="3484" w:type="pct"/>
                  <w:vAlign w:val="center"/>
                </w:tcPr>
                <w:p w14:paraId="3B291DC4">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升压变装设2</w:t>
                  </w:r>
                  <w:r>
                    <w:rPr>
                      <w:rFonts w:hint="default" w:ascii="Times New Roman" w:hAnsi="Times New Roman" w:eastAsia="宋体" w:cs="Times New Roman"/>
                      <w:color w:val="auto"/>
                      <w:sz w:val="21"/>
                      <w:szCs w:val="21"/>
                      <w:highlight w:val="none"/>
                      <w:lang w:val="en-US" w:eastAsia="zh-CN"/>
                    </w:rPr>
                    <w:t>套户外式</w:t>
                  </w:r>
                  <w:r>
                    <w:rPr>
                      <w:rFonts w:hint="default" w:ascii="Times New Roman" w:hAnsi="Times New Roman" w:eastAsia="宋体" w:cs="Times New Roman"/>
                      <w:color w:val="auto"/>
                      <w:sz w:val="21"/>
                      <w:szCs w:val="21"/>
                      <w:highlight w:val="none"/>
                    </w:rPr>
                    <w:t>SVG动态无功补偿装置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无功补偿装置容量为68Mvar，在升压站35kV母线上设置2套34Mvar动态无功补偿成套装置，采用SVG直挂式，可实现无功容量-68Mvar～+68Mvar连续平滑可调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水冷</w:t>
                  </w:r>
                  <w:r>
                    <w:rPr>
                      <w:rFonts w:hint="default" w:ascii="Times New Roman" w:hAnsi="Times New Roman" w:eastAsia="宋体" w:cs="Times New Roman"/>
                      <w:color w:val="auto"/>
                      <w:sz w:val="21"/>
                      <w:szCs w:val="21"/>
                      <w:highlight w:val="none"/>
                      <w:lang w:eastAsia="zh-CN"/>
                    </w:rPr>
                    <w:t>。</w:t>
                  </w:r>
                </w:p>
                <w:p w14:paraId="7DCA4AA8">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额定电压：35kV</w:t>
                  </w:r>
                </w:p>
                <w:p w14:paraId="46EB20E2">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额定容量：±34MVar</w:t>
                  </w:r>
                </w:p>
                <w:p w14:paraId="0CA1B8D4">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调节容量范围：-100%～100%，连续平滑可调</w:t>
                  </w:r>
                </w:p>
                <w:p w14:paraId="335DBF44">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无功调节精度：无级调节</w:t>
                  </w:r>
                </w:p>
                <w:p w14:paraId="6615E28B">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调节响应时间：&lt;30ms</w:t>
                  </w:r>
                </w:p>
              </w:tc>
              <w:tc>
                <w:tcPr>
                  <w:tcW w:w="504" w:type="pct"/>
                  <w:vAlign w:val="center"/>
                </w:tcPr>
                <w:p w14:paraId="588F381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2套</w:t>
                  </w:r>
                </w:p>
              </w:tc>
            </w:tr>
            <w:tr w14:paraId="39C6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42" w:type="pct"/>
                  <w:vAlign w:val="center"/>
                </w:tcPr>
                <w:p w14:paraId="4924924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668" w:type="pct"/>
                  <w:vAlign w:val="center"/>
                </w:tcPr>
                <w:p w14:paraId="5F63090B">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highlight w:val="none"/>
                    </w:rPr>
                    <w:t>站用电系统</w:t>
                  </w:r>
                </w:p>
              </w:tc>
              <w:tc>
                <w:tcPr>
                  <w:tcW w:w="3484" w:type="pct"/>
                  <w:vAlign w:val="center"/>
                </w:tcPr>
                <w:p w14:paraId="2D2E4622">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站用</w:t>
                  </w:r>
                  <w:r>
                    <w:rPr>
                      <w:rFonts w:hint="default" w:ascii="Times New Roman" w:hAnsi="Times New Roman" w:eastAsia="宋体" w:cs="Times New Roman"/>
                      <w:color w:val="auto"/>
                      <w:sz w:val="21"/>
                      <w:szCs w:val="21"/>
                      <w:highlight w:val="none"/>
                      <w:lang w:val="en-US" w:eastAsia="zh-CN"/>
                    </w:rPr>
                    <w:t>电</w:t>
                  </w:r>
                  <w:r>
                    <w:rPr>
                      <w:rFonts w:hint="default" w:ascii="Times New Roman" w:hAnsi="Times New Roman" w:eastAsia="宋体" w:cs="Times New Roman"/>
                      <w:color w:val="auto"/>
                      <w:sz w:val="21"/>
                      <w:szCs w:val="21"/>
                      <w:highlight w:val="none"/>
                    </w:rPr>
                    <w:t>采用</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eastAsia="zh-CN"/>
                    </w:rPr>
                    <w:t>kV</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val="en-US" w:eastAsia="zh-CN"/>
                    </w:rPr>
                    <w:t>干式</w:t>
                  </w:r>
                  <w:r>
                    <w:rPr>
                      <w:rFonts w:hint="default" w:ascii="Times New Roman" w:hAnsi="Times New Roman" w:eastAsia="宋体" w:cs="Times New Roman"/>
                      <w:color w:val="auto"/>
                      <w:sz w:val="21"/>
                      <w:szCs w:val="21"/>
                      <w:highlight w:val="none"/>
                    </w:rPr>
                    <w:t>变压器，电源从35kV配电装置引接，站用电380V配电装置选用MNS型低压配电柜，共7面，采用电缆馈出至用电负荷。</w:t>
                  </w:r>
                </w:p>
              </w:tc>
              <w:tc>
                <w:tcPr>
                  <w:tcW w:w="504" w:type="pct"/>
                  <w:vAlign w:val="center"/>
                </w:tcPr>
                <w:p w14:paraId="3EF13EB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1台</w:t>
                  </w:r>
                </w:p>
              </w:tc>
            </w:tr>
            <w:bookmarkEnd w:id="92"/>
          </w:tbl>
          <w:p w14:paraId="330A0301">
            <w:pPr>
              <w:keepNext w:val="0"/>
              <w:keepLines w:val="0"/>
              <w:pageBreakBefore w:val="0"/>
              <w:tabs>
                <w:tab w:val="left" w:pos="3240"/>
              </w:tabs>
              <w:kinsoku/>
              <w:wordWrap/>
              <w:overflowPunct/>
              <w:topLinePunct w:val="0"/>
              <w:autoSpaceDE/>
              <w:autoSpaceDN/>
              <w:bidi w:val="0"/>
              <w:adjustRightInd w:val="0"/>
              <w:snapToGrid/>
              <w:spacing w:line="348" w:lineRule="auto"/>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工程占地情况</w:t>
            </w:r>
          </w:p>
          <w:p w14:paraId="1FBC2510">
            <w:pPr>
              <w:keepNext w:val="0"/>
              <w:keepLines w:val="0"/>
              <w:pageBreakBefore w:val="0"/>
              <w:widowControl w:val="0"/>
              <w:kinsoku/>
              <w:wordWrap/>
              <w:overflowPunct/>
              <w:topLinePunct w:val="0"/>
              <w:autoSpaceDE/>
              <w:autoSpaceDN/>
              <w:bidi w:val="0"/>
              <w:adjustRightInd w:val="0"/>
              <w:snapToGrid/>
              <w:spacing w:line="348" w:lineRule="auto"/>
              <w:ind w:firstLine="480" w:firstLineChars="200"/>
              <w:jc w:val="both"/>
              <w:textAlignment w:val="auto"/>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rPr>
              <w:t>220kV升压站</w:t>
            </w:r>
            <w:r>
              <w:rPr>
                <w:rFonts w:hint="default" w:ascii="Times New Roman" w:hAnsi="Times New Roman" w:eastAsia="宋体" w:cs="Times New Roman"/>
                <w:color w:val="auto"/>
                <w:sz w:val="24"/>
                <w:highlight w:val="none"/>
                <w:vertAlign w:val="baseline"/>
                <w:lang w:val="en-US" w:eastAsia="zh-CN"/>
              </w:rPr>
              <w:t>占地面积为</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不含进场道路</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highlight w:val="none"/>
              </w:rPr>
              <w:t>，均为永久占地，</w:t>
            </w:r>
            <w:r>
              <w:rPr>
                <w:rFonts w:hint="default" w:ascii="Times New Roman" w:hAnsi="Times New Roman" w:eastAsia="宋体" w:cs="Times New Roman"/>
                <w:b w:val="0"/>
                <w:bCs w:val="0"/>
                <w:color w:val="auto"/>
                <w:spacing w:val="0"/>
                <w:kern w:val="2"/>
                <w:sz w:val="24"/>
                <w:szCs w:val="24"/>
                <w:highlight w:val="none"/>
                <w:lang w:val="en-US" w:eastAsia="zh-CN" w:bidi="ar-SA"/>
              </w:rPr>
              <w:t>根据</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》，升压站</w:t>
            </w:r>
            <w:r>
              <w:rPr>
                <w:rFonts w:hint="default" w:ascii="Times New Roman" w:hAnsi="Times New Roman" w:eastAsia="宋体" w:cs="Times New Roman"/>
                <w:color w:val="auto"/>
                <w:sz w:val="24"/>
                <w:highlight w:val="none"/>
              </w:rPr>
              <w:t>占地类型</w:t>
            </w:r>
            <w:r>
              <w:rPr>
                <w:rFonts w:hint="default" w:ascii="Times New Roman" w:hAnsi="Times New Roman" w:eastAsia="宋体" w:cs="Times New Roman"/>
                <w:color w:val="auto"/>
                <w:sz w:val="24"/>
                <w:highlight w:val="none"/>
                <w:lang w:val="en-US" w:eastAsia="zh-CN"/>
              </w:rPr>
              <w:t>主要包括一般耕地、荒草地及裸露未利用地，其中</w:t>
            </w:r>
            <w:r>
              <w:rPr>
                <w:rFonts w:hint="default" w:ascii="Times New Roman" w:hAnsi="Times New Roman" w:eastAsia="宋体" w:cs="Times New Roman"/>
                <w:color w:val="auto"/>
                <w:sz w:val="24"/>
                <w:highlight w:val="none"/>
              </w:rPr>
              <w:t>以荒草地为主。</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220kV升压站项目用地范围已包括在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用地范围内，升压站用地块现状均为工业用地。</w:t>
            </w:r>
          </w:p>
          <w:p w14:paraId="56ED1883">
            <w:pPr>
              <w:keepNext w:val="0"/>
              <w:keepLines w:val="0"/>
              <w:pageBreakBefore w:val="0"/>
              <w:tabs>
                <w:tab w:val="left" w:pos="3240"/>
              </w:tabs>
              <w:kinsoku/>
              <w:wordWrap/>
              <w:overflowPunct/>
              <w:topLinePunct w:val="0"/>
              <w:autoSpaceDE/>
              <w:autoSpaceDN/>
              <w:bidi w:val="0"/>
              <w:adjustRightInd/>
              <w:snapToGrid/>
              <w:spacing w:line="348" w:lineRule="auto"/>
              <w:textAlignment w:val="auto"/>
              <w:rPr>
                <w:rFonts w:hint="default" w:ascii="Times New Roman" w:hAnsi="Times New Roman" w:eastAsia="宋体" w:cs="Times New Roman"/>
                <w:b/>
                <w:bCs/>
                <w:color w:val="auto"/>
                <w:kern w:val="0"/>
                <w:sz w:val="24"/>
                <w:szCs w:val="24"/>
                <w:highlight w:val="none"/>
                <w:lang w:val="en-US" w:eastAsia="zh-CN" w:bidi="ar-SA"/>
              </w:rPr>
            </w:pPr>
            <w:bookmarkStart w:id="93" w:name="OLE_LINK160"/>
            <w:r>
              <w:rPr>
                <w:rFonts w:hint="default" w:ascii="Times New Roman" w:hAnsi="Times New Roman" w:eastAsia="宋体" w:cs="Times New Roman"/>
                <w:b/>
                <w:color w:val="auto"/>
                <w:sz w:val="24"/>
                <w:highlight w:val="none"/>
                <w:lang w:val="en-US" w:eastAsia="zh-CN"/>
              </w:rPr>
              <w:t>5、</w:t>
            </w:r>
            <w:bookmarkEnd w:id="93"/>
            <w:r>
              <w:rPr>
                <w:rFonts w:hint="default" w:ascii="Times New Roman" w:hAnsi="Times New Roman" w:eastAsia="宋体" w:cs="Times New Roman"/>
                <w:b/>
                <w:bCs/>
                <w:color w:val="auto"/>
                <w:kern w:val="0"/>
                <w:sz w:val="24"/>
                <w:szCs w:val="24"/>
                <w:highlight w:val="none"/>
                <w:lang w:val="en-US" w:eastAsia="zh-CN" w:bidi="ar-SA"/>
              </w:rPr>
              <w:t xml:space="preserve">劳动定员及工作制度 </w:t>
            </w:r>
          </w:p>
          <w:p w14:paraId="2B5EE87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。本项目与光伏发电项目主体工程服务年限一致，为25年。</w:t>
            </w:r>
          </w:p>
          <w:p w14:paraId="1C629D4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工作制度：采用24小时值班制，全年工作365天。</w:t>
            </w:r>
          </w:p>
          <w:p w14:paraId="7A97B6D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劳动定员：本项目220kV升压站属于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劳动定员为</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人，均在</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内食宿。本项目不新增劳动定员。</w:t>
            </w:r>
          </w:p>
          <w:p w14:paraId="00B25899">
            <w:pPr>
              <w:keepNext/>
              <w:keepLines/>
              <w:pageBreakBefore w:val="0"/>
              <w:kinsoku/>
              <w:wordWrap/>
              <w:overflowPunct/>
              <w:topLinePunct w:val="0"/>
              <w:autoSpaceDE/>
              <w:autoSpaceDN/>
              <w:bidi w:val="0"/>
              <w:snapToGrid/>
              <w:spacing w:line="36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、项目拆迁及安置</w:t>
            </w:r>
          </w:p>
          <w:p w14:paraId="5562A87B">
            <w:pPr>
              <w:spacing w:line="360" w:lineRule="auto"/>
              <w:ind w:firstLine="480" w:firstLineChars="200"/>
              <w:rPr>
                <w:rFonts w:hint="default" w:ascii="Times New Roman" w:hAnsi="Times New Roman" w:eastAsia="宋体" w:cs="Times New Roman"/>
                <w:color w:val="auto"/>
                <w:sz w:val="24"/>
                <w:highlight w:val="none"/>
              </w:rPr>
            </w:pPr>
            <w:bookmarkStart w:id="94" w:name="_Toc6198"/>
            <w:bookmarkStart w:id="95" w:name="_Toc24500"/>
            <w:bookmarkStart w:id="96" w:name="_Toc14722"/>
            <w:r>
              <w:rPr>
                <w:rFonts w:hint="default" w:ascii="Times New Roman" w:hAnsi="Times New Roman" w:eastAsia="宋体" w:cs="Times New Roman"/>
                <w:b w:val="0"/>
                <w:bCs w:val="0"/>
                <w:color w:val="auto"/>
                <w:spacing w:val="0"/>
                <w:kern w:val="2"/>
                <w:sz w:val="24"/>
                <w:szCs w:val="24"/>
                <w:highlight w:val="none"/>
                <w:lang w:val="en-US" w:eastAsia="zh-CN" w:bidi="ar-SA"/>
              </w:rPr>
              <w:t>本项目位于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原有占地范围内</w:t>
            </w:r>
            <w:r>
              <w:rPr>
                <w:rFonts w:hint="default" w:ascii="Times New Roman" w:hAnsi="Times New Roman" w:eastAsia="宋体" w:cs="Times New Roman"/>
                <w:b w:val="0"/>
                <w:bCs w:val="0"/>
                <w:color w:val="auto"/>
                <w:spacing w:val="0"/>
                <w:kern w:val="2"/>
                <w:sz w:val="24"/>
                <w:szCs w:val="24"/>
                <w:highlight w:val="none"/>
                <w:lang w:val="en-US" w:eastAsia="zh-CN" w:bidi="ar-SA"/>
              </w:rPr>
              <w:t>，根据</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b w:val="0"/>
                <w:bCs w:val="0"/>
                <w:color w:val="auto"/>
                <w:spacing w:val="0"/>
                <w:kern w:val="2"/>
                <w:sz w:val="24"/>
                <w:szCs w:val="24"/>
                <w:highlight w:val="none"/>
                <w:lang w:val="en-US" w:eastAsia="zh-CN" w:bidi="ar-SA"/>
              </w:rPr>
              <w:t>项目用地</w:t>
            </w:r>
            <w:r>
              <w:rPr>
                <w:rFonts w:hint="default" w:ascii="Times New Roman" w:hAnsi="Times New Roman" w:eastAsia="宋体" w:cs="Times New Roman"/>
                <w:color w:val="auto"/>
                <w:sz w:val="24"/>
                <w:highlight w:val="none"/>
              </w:rPr>
              <w:t>占地类型</w:t>
            </w:r>
            <w:r>
              <w:rPr>
                <w:rFonts w:hint="default" w:ascii="Times New Roman" w:hAnsi="Times New Roman" w:eastAsia="宋体" w:cs="Times New Roman"/>
                <w:color w:val="auto"/>
                <w:sz w:val="24"/>
                <w:highlight w:val="none"/>
                <w:lang w:val="en-US" w:eastAsia="zh-CN"/>
              </w:rPr>
              <w:t>主要包括一般耕地、荒草地及裸露未利用地，其中</w:t>
            </w:r>
            <w:r>
              <w:rPr>
                <w:rFonts w:hint="default" w:ascii="Times New Roman" w:hAnsi="Times New Roman" w:eastAsia="宋体" w:cs="Times New Roman"/>
                <w:color w:val="auto"/>
                <w:sz w:val="24"/>
                <w:highlight w:val="none"/>
              </w:rPr>
              <w:t>以荒草地为主</w:t>
            </w:r>
            <w:r>
              <w:rPr>
                <w:rFonts w:hint="default" w:ascii="Times New Roman" w:hAnsi="Times New Roman" w:eastAsia="宋体" w:cs="Times New Roman"/>
                <w:b w:val="0"/>
                <w:bCs w:val="0"/>
                <w:color w:val="auto"/>
                <w:spacing w:val="0"/>
                <w:kern w:val="2"/>
                <w:sz w:val="24"/>
                <w:szCs w:val="24"/>
                <w:highlight w:val="none"/>
                <w:lang w:val="en-US" w:eastAsia="zh-CN" w:bidi="ar-SA"/>
              </w:rPr>
              <w:t>，工程的建设不涉及移民搬迁、安置等情况</w:t>
            </w:r>
            <w:bookmarkEnd w:id="94"/>
            <w:bookmarkEnd w:id="95"/>
            <w:bookmarkEnd w:id="96"/>
            <w:r>
              <w:rPr>
                <w:rFonts w:hint="default" w:ascii="Times New Roman" w:hAnsi="Times New Roman" w:eastAsia="宋体" w:cs="Times New Roman"/>
                <w:color w:val="auto"/>
                <w:sz w:val="24"/>
                <w:highlight w:val="none"/>
              </w:rPr>
              <w:t>。</w:t>
            </w:r>
            <w:bookmarkEnd w:id="75"/>
            <w:bookmarkEnd w:id="76"/>
          </w:p>
          <w:p w14:paraId="298B3220">
            <w:pPr>
              <w:spacing w:line="360" w:lineRule="auto"/>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szCs w:val="22"/>
                <w:highlight w:val="none"/>
              </w:rPr>
              <w:t>依托工程</w:t>
            </w:r>
          </w:p>
          <w:p w14:paraId="61C7292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outlineLvl w:val="0"/>
              <w:rPr>
                <w:rFonts w:hint="default" w:ascii="Times New Roman" w:hAnsi="Times New Roman" w:eastAsia="宋体" w:cs="Times New Roman"/>
                <w:color w:val="auto"/>
                <w:sz w:val="24"/>
                <w:highlight w:val="none"/>
              </w:rPr>
            </w:pPr>
            <w:bookmarkStart w:id="97" w:name="_Toc17358"/>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升压站建设施工期和营运期的废水、废气、噪声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生态环境影响及环境风险</w:t>
            </w:r>
            <w:r>
              <w:rPr>
                <w:rFonts w:hint="default" w:ascii="Times New Roman" w:hAnsi="Times New Roman" w:eastAsia="宋体" w:cs="Times New Roman"/>
                <w:color w:val="auto"/>
                <w:sz w:val="24"/>
                <w:szCs w:val="22"/>
                <w:highlight w:val="none"/>
              </w:rPr>
              <w:t>的</w:t>
            </w:r>
            <w:r>
              <w:rPr>
                <w:rFonts w:hint="default" w:ascii="Times New Roman" w:hAnsi="Times New Roman" w:eastAsia="宋体" w:cs="Times New Roman"/>
                <w:color w:val="auto"/>
                <w:sz w:val="24"/>
                <w:szCs w:val="22"/>
                <w:highlight w:val="none"/>
                <w:lang w:val="en-US" w:eastAsia="zh-CN"/>
              </w:rPr>
              <w:t>相关影响分析及</w:t>
            </w:r>
            <w:r>
              <w:rPr>
                <w:rFonts w:hint="default" w:ascii="Times New Roman" w:hAnsi="Times New Roman" w:eastAsia="宋体" w:cs="Times New Roman"/>
                <w:color w:val="auto"/>
                <w:sz w:val="24"/>
                <w:szCs w:val="22"/>
                <w:highlight w:val="none"/>
              </w:rPr>
              <w:t>治理措施已在《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环境影响报告表》中进行阐述分析，本报告表仅</w:t>
            </w:r>
            <w:r>
              <w:rPr>
                <w:rFonts w:hint="default" w:ascii="Times New Roman" w:hAnsi="Times New Roman" w:eastAsia="宋体" w:cs="Times New Roman"/>
                <w:color w:val="auto"/>
                <w:sz w:val="24"/>
                <w:szCs w:val="22"/>
                <w:highlight w:val="none"/>
                <w:lang w:val="en-US" w:eastAsia="zh-CN"/>
              </w:rPr>
              <w:t>根据已批复报告表及相关监测结果</w:t>
            </w:r>
            <w:r>
              <w:rPr>
                <w:rFonts w:hint="default" w:ascii="Times New Roman" w:hAnsi="Times New Roman" w:eastAsia="宋体" w:cs="Times New Roman"/>
                <w:color w:val="auto"/>
                <w:sz w:val="24"/>
                <w:szCs w:val="22"/>
                <w:highlight w:val="none"/>
              </w:rPr>
              <w:t>简单列出结论，不评价。</w:t>
            </w:r>
            <w:bookmarkEnd w:id="97"/>
          </w:p>
        </w:tc>
      </w:tr>
      <w:tr w14:paraId="46E57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 w:type="pct"/>
            <w:vAlign w:val="center"/>
          </w:tcPr>
          <w:p w14:paraId="2E07B5B6">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p>
          <w:p w14:paraId="69427D35">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p>
          <w:p w14:paraId="64DFE82B">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总平面及现场布置</w:t>
            </w:r>
          </w:p>
        </w:tc>
        <w:tc>
          <w:tcPr>
            <w:tcW w:w="4655" w:type="pct"/>
            <w:vAlign w:val="center"/>
          </w:tcPr>
          <w:p w14:paraId="71709630">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一、220kV升压站平面布置</w:t>
            </w:r>
          </w:p>
          <w:p w14:paraId="66A9A1E7">
            <w:pPr>
              <w:spacing w:line="360" w:lineRule="auto"/>
              <w:ind w:firstLine="48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本项目为220kV升压站一座，升压站总占地面积</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不含进场道路</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lang w:val="en-US" w:eastAsia="zh-CN" w:bidi="ar-SA"/>
              </w:rPr>
              <w:t>，用地范围为不规则多边形，升压站</w:t>
            </w:r>
            <w:r>
              <w:rPr>
                <w:rFonts w:hint="default" w:ascii="Times New Roman" w:hAnsi="Times New Roman" w:eastAsia="宋体" w:cs="Times New Roman"/>
                <w:color w:val="auto"/>
                <w:sz w:val="24"/>
                <w:szCs w:val="24"/>
                <w:highlight w:val="none"/>
                <w:vertAlign w:val="baseline"/>
                <w:lang w:val="en-US" w:eastAsia="zh-CN"/>
              </w:rPr>
              <w:t>已建主要建设内容主要包括：综合楼、附属用房、电气预制舱、1台</w:t>
            </w:r>
            <w:r>
              <w:rPr>
                <w:rFonts w:hint="default" w:ascii="Times New Roman" w:hAnsi="Times New Roman" w:eastAsia="宋体" w:cs="Times New Roman"/>
                <w:snapToGrid w:val="0"/>
                <w:color w:val="auto"/>
                <w:kern w:val="0"/>
                <w:sz w:val="24"/>
                <w:szCs w:val="24"/>
                <w:highlight w:val="none"/>
                <w:lang w:val="en-US" w:eastAsia="zh-CN" w:bidi="ar-SA"/>
              </w:rPr>
              <w:t>200MVA</w:t>
            </w:r>
            <w:r>
              <w:rPr>
                <w:rFonts w:hint="default" w:ascii="Times New Roman" w:hAnsi="Times New Roman" w:eastAsia="宋体" w:cs="Times New Roman"/>
                <w:color w:val="auto"/>
                <w:sz w:val="24"/>
                <w:szCs w:val="24"/>
                <w:highlight w:val="none"/>
                <w:vertAlign w:val="baseline"/>
                <w:lang w:val="en-US" w:eastAsia="zh-CN"/>
              </w:rPr>
              <w:t>主变压器、GIS及出线构架、SVG户外成套装置及相关配套设施</w:t>
            </w:r>
            <w:r>
              <w:rPr>
                <w:rFonts w:hint="default" w:ascii="Times New Roman" w:hAnsi="Times New Roman" w:eastAsia="宋体" w:cs="Times New Roman"/>
                <w:snapToGrid w:val="0"/>
                <w:color w:val="auto"/>
                <w:kern w:val="0"/>
                <w:sz w:val="24"/>
                <w:szCs w:val="24"/>
                <w:highlight w:val="none"/>
                <w:lang w:val="en-US" w:eastAsia="zh-CN" w:bidi="ar-SA"/>
              </w:rPr>
              <w:t>。其中</w:t>
            </w:r>
            <w:r>
              <w:rPr>
                <w:rFonts w:hint="default" w:ascii="Times New Roman" w:hAnsi="Times New Roman" w:eastAsia="宋体" w:cs="Times New Roman"/>
                <w:snapToGrid w:val="0"/>
                <w:color w:val="auto"/>
                <w:kern w:val="0"/>
                <w:sz w:val="24"/>
                <w:szCs w:val="24"/>
                <w:highlight w:val="none"/>
                <w:lang w:val="en-US" w:eastAsia="zh-CN"/>
              </w:rPr>
              <w:t>综合楼布置在站区的西侧，一层主要设置厨房、餐厅、会议室、休息间、控制室、卫生间，二层主要设置活动室、休息间、资料室及办公室；附属用房布置在站区的西侧，其中地下一层设置消防水池、消防水泵房，一层主要设置工具间、备品备件间、生活水泵房等；主变压器设置于占地块东北侧，</w:t>
            </w:r>
            <w:r>
              <w:rPr>
                <w:rFonts w:hint="default" w:ascii="Times New Roman" w:hAnsi="Times New Roman" w:eastAsia="宋体" w:cs="Times New Roman"/>
                <w:snapToGrid w:val="0"/>
                <w:color w:val="auto"/>
                <w:kern w:val="0"/>
                <w:sz w:val="24"/>
                <w:szCs w:val="24"/>
                <w:highlight w:val="none"/>
                <w:lang w:val="en-US" w:eastAsia="zh-CN" w:bidi="ar-SA"/>
              </w:rPr>
              <w:t>GIS及出线构架布置在站区的东侧，与主变成一字型布置；电气预制舱布置于主变西侧；</w:t>
            </w:r>
            <w:r>
              <w:rPr>
                <w:rFonts w:hint="default" w:ascii="Times New Roman" w:hAnsi="Times New Roman" w:eastAsia="宋体" w:cs="Times New Roman"/>
                <w:b w:val="0"/>
                <w:bCs w:val="0"/>
                <w:color w:val="auto"/>
                <w:kern w:val="0"/>
                <w:sz w:val="24"/>
                <w:szCs w:val="24"/>
                <w:highlight w:val="none"/>
                <w:lang w:val="en-US" w:eastAsia="zh-CN" w:bidi="ar-SA"/>
              </w:rPr>
              <w:t>主变压器、SVG设备、接地变（兼站用变）、220kV配电装置等户外布置，位于在站内东北侧。升压站出入口位于项目区西侧，紧邻现状道路，升压站内设置5m宽消防环道，道路转弯半径为12m，满足消防和运行要求，站内道路两侧空地上种植低矮的花草，以美化站区环境。</w:t>
            </w:r>
          </w:p>
          <w:p w14:paraId="0C81C343">
            <w:pPr>
              <w:spacing w:line="360" w:lineRule="auto"/>
              <w:ind w:firstLine="480"/>
              <w:rPr>
                <w:rFonts w:hint="default" w:ascii="Times New Roman" w:hAnsi="Times New Roman" w:eastAsia="宋体" w:cs="Times New Roman"/>
                <w:b w:val="0"/>
                <w:bCs w:val="0"/>
                <w:color w:val="auto"/>
                <w:kern w:val="0"/>
                <w:sz w:val="24"/>
                <w:szCs w:val="18"/>
                <w:highlight w:val="none"/>
                <w:lang w:val="en-US" w:eastAsia="zh-CN" w:bidi="ar-SA"/>
              </w:rPr>
            </w:pPr>
            <w:r>
              <w:rPr>
                <w:rFonts w:hint="default" w:ascii="Times New Roman" w:hAnsi="Times New Roman" w:eastAsia="宋体" w:cs="Times New Roman"/>
                <w:b w:val="0"/>
                <w:bCs w:val="0"/>
                <w:color w:val="auto"/>
                <w:kern w:val="0"/>
                <w:sz w:val="24"/>
                <w:szCs w:val="18"/>
                <w:highlight w:val="none"/>
                <w:lang w:val="en-US" w:eastAsia="zh-CN" w:bidi="ar-SA"/>
              </w:rPr>
              <w:t>站内道路采用郊区型混凝土道路，道路宽度为4.5m，转弯半径为9m，布置在站区西南侧与进站道路相接。</w:t>
            </w:r>
          </w:p>
          <w:p w14:paraId="6E11D1CC">
            <w:pPr>
              <w:adjustRightInd w:val="0"/>
              <w:spacing w:line="360" w:lineRule="auto"/>
              <w:ind w:firstLine="480" w:firstLineChars="200"/>
              <w:rPr>
                <w:rFonts w:hint="default" w:ascii="Times New Roman" w:hAnsi="Times New Roman" w:eastAsia="宋体" w:cs="Times New Roman"/>
                <w:b w:val="0"/>
                <w:bCs w:val="0"/>
                <w:color w:val="auto"/>
                <w:kern w:val="0"/>
                <w:sz w:val="24"/>
                <w:szCs w:val="18"/>
                <w:highlight w:val="none"/>
                <w:lang w:val="en-US" w:eastAsia="zh-CN" w:bidi="ar-SA"/>
              </w:rPr>
            </w:pPr>
            <w:r>
              <w:rPr>
                <w:rFonts w:hint="default" w:ascii="Times New Roman" w:hAnsi="Times New Roman" w:eastAsia="宋体" w:cs="Times New Roman"/>
                <w:b w:val="0"/>
                <w:bCs w:val="0"/>
                <w:color w:val="auto"/>
                <w:kern w:val="0"/>
                <w:sz w:val="24"/>
                <w:szCs w:val="18"/>
                <w:highlight w:val="none"/>
                <w:lang w:val="en-US" w:eastAsia="zh-CN" w:bidi="ar-SA"/>
              </w:rPr>
              <w:t>升压站总布置因地制宜，综合考虑进出线走廊、建（构）筑物布置形式等各方面因素，根据生产生活、交通运输、防火防爆、环境保护等各方面要求，实现工艺流程顺畅、机械作业通道和空间恰当、检修维护方便、便于施工，兼顾运行管理的方便。</w:t>
            </w:r>
          </w:p>
          <w:p w14:paraId="42320D2F">
            <w:pPr>
              <w:adjustRightInd w:val="0"/>
              <w:spacing w:line="360" w:lineRule="auto"/>
              <w:ind w:firstLine="480" w:firstLineChars="200"/>
              <w:rPr>
                <w:rFonts w:hint="default" w:ascii="Times New Roman" w:hAnsi="Times New Roman" w:eastAsia="宋体" w:cs="Times New Roman"/>
                <w:b w:val="0"/>
                <w:bCs w:val="0"/>
                <w:color w:val="auto"/>
                <w:kern w:val="0"/>
                <w:sz w:val="24"/>
                <w:szCs w:val="18"/>
                <w:highlight w:val="none"/>
                <w:lang w:val="en-US" w:eastAsia="zh-CN" w:bidi="ar-SA"/>
              </w:rPr>
            </w:pPr>
            <w:r>
              <w:rPr>
                <w:rFonts w:hint="default" w:ascii="Times New Roman" w:hAnsi="Times New Roman" w:eastAsia="宋体" w:cs="Times New Roman"/>
                <w:b w:val="0"/>
                <w:bCs w:val="0"/>
                <w:color w:val="auto"/>
                <w:kern w:val="0"/>
                <w:sz w:val="24"/>
                <w:szCs w:val="18"/>
                <w:highlight w:val="none"/>
                <w:lang w:val="en-US" w:eastAsia="zh-CN" w:bidi="ar-SA"/>
              </w:rPr>
              <w:t>项目总平面布置示意图详见附图4。</w:t>
            </w:r>
          </w:p>
          <w:p w14:paraId="0E34DC1D">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二、施工布置情况</w:t>
            </w:r>
          </w:p>
          <w:p w14:paraId="53AD4066">
            <w:pPr>
              <w:adjustRightInd w:val="0"/>
              <w:spacing w:line="360" w:lineRule="auto"/>
              <w:ind w:firstLine="480" w:firstLineChars="200"/>
              <w:rPr>
                <w:rFonts w:hint="default" w:ascii="Times New Roman" w:hAnsi="Times New Roman" w:eastAsia="宋体" w:cs="Times New Roman"/>
                <w:b w:val="0"/>
                <w:bCs w:val="0"/>
                <w:color w:val="auto"/>
                <w:kern w:val="0"/>
                <w:sz w:val="24"/>
                <w:szCs w:val="18"/>
                <w:highlight w:val="none"/>
                <w:lang w:val="en-US" w:eastAsia="zh-CN" w:bidi="ar-SA"/>
              </w:rPr>
            </w:pPr>
            <w:r>
              <w:rPr>
                <w:rFonts w:hint="default" w:ascii="Times New Roman" w:hAnsi="Times New Roman" w:eastAsia="宋体" w:cs="Times New Roman"/>
                <w:bCs/>
                <w:color w:val="auto"/>
                <w:sz w:val="24"/>
                <w:highlight w:val="none"/>
              </w:rPr>
              <w:t>本工程升压站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bCs/>
                <w:color w:val="auto"/>
                <w:sz w:val="24"/>
                <w:highlight w:val="none"/>
              </w:rPr>
              <w:t>已包含于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bCs/>
                <w:color w:val="auto"/>
                <w:sz w:val="24"/>
                <w:highlight w:val="none"/>
              </w:rPr>
              <w:t>主体环评中，</w:t>
            </w:r>
            <w:r>
              <w:rPr>
                <w:rFonts w:hint="default" w:ascii="Times New Roman" w:hAnsi="Times New Roman" w:eastAsia="宋体" w:cs="Times New Roman"/>
                <w:color w:val="auto"/>
                <w:sz w:val="24"/>
                <w:szCs w:val="22"/>
                <w:highlight w:val="none"/>
                <w:lang w:val="en-US" w:eastAsia="zh-CN"/>
              </w:rPr>
              <w:t>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已于2023年11月开工建设，建设完工后于2024年6月投入试运行，</w:t>
            </w:r>
            <w:r>
              <w:rPr>
                <w:rFonts w:hint="default" w:ascii="Times New Roman" w:hAnsi="Times New Roman" w:eastAsia="宋体" w:cs="Times New Roman"/>
                <w:bCs/>
                <w:color w:val="auto"/>
                <w:sz w:val="24"/>
                <w:highlight w:val="none"/>
                <w:lang w:val="en-US" w:eastAsia="zh-CN"/>
              </w:rPr>
              <w:t>项目施工期现阶段已结束，</w:t>
            </w:r>
            <w:r>
              <w:rPr>
                <w:rFonts w:hint="default" w:ascii="Times New Roman" w:hAnsi="Times New Roman" w:eastAsia="宋体" w:cs="Times New Roman"/>
                <w:bCs/>
                <w:color w:val="auto"/>
                <w:sz w:val="24"/>
                <w:highlight w:val="none"/>
              </w:rPr>
              <w:t>因此</w:t>
            </w:r>
            <w:r>
              <w:rPr>
                <w:rFonts w:hint="default" w:ascii="Times New Roman" w:hAnsi="Times New Roman" w:eastAsia="宋体" w:cs="Times New Roman"/>
                <w:bCs/>
                <w:color w:val="auto"/>
                <w:sz w:val="24"/>
                <w:highlight w:val="none"/>
                <w:lang w:val="en-US" w:eastAsia="zh-CN"/>
              </w:rPr>
              <w:t>本环评</w:t>
            </w:r>
            <w:r>
              <w:rPr>
                <w:rFonts w:hint="default" w:ascii="Times New Roman" w:hAnsi="Times New Roman" w:eastAsia="宋体" w:cs="Times New Roman"/>
                <w:bCs/>
                <w:color w:val="auto"/>
                <w:sz w:val="24"/>
                <w:highlight w:val="none"/>
              </w:rPr>
              <w:t>不</w:t>
            </w:r>
            <w:r>
              <w:rPr>
                <w:rFonts w:hint="default" w:ascii="Times New Roman" w:hAnsi="Times New Roman" w:eastAsia="宋体" w:cs="Times New Roman"/>
                <w:bCs/>
                <w:color w:val="auto"/>
                <w:sz w:val="24"/>
                <w:highlight w:val="none"/>
                <w:lang w:val="en-US" w:eastAsia="zh-CN"/>
              </w:rPr>
              <w:t>涉及</w:t>
            </w:r>
            <w:r>
              <w:rPr>
                <w:rFonts w:hint="default" w:ascii="Times New Roman" w:hAnsi="Times New Roman" w:eastAsia="宋体" w:cs="Times New Roman"/>
                <w:bCs/>
                <w:color w:val="auto"/>
                <w:sz w:val="24"/>
                <w:highlight w:val="none"/>
              </w:rPr>
              <w:t>土建施工场地</w:t>
            </w:r>
            <w:r>
              <w:rPr>
                <w:rFonts w:hint="default" w:ascii="Times New Roman" w:hAnsi="Times New Roman" w:eastAsia="宋体" w:cs="Times New Roman"/>
                <w:bCs/>
                <w:color w:val="auto"/>
                <w:sz w:val="24"/>
                <w:highlight w:val="none"/>
                <w:lang w:val="en-US" w:eastAsia="zh-CN"/>
              </w:rPr>
              <w:t>等</w:t>
            </w:r>
            <w:r>
              <w:rPr>
                <w:rFonts w:hint="default" w:ascii="Times New Roman" w:hAnsi="Times New Roman" w:eastAsia="宋体" w:cs="Times New Roman"/>
                <w:bCs/>
                <w:color w:val="auto"/>
                <w:sz w:val="24"/>
                <w:highlight w:val="none"/>
              </w:rPr>
              <w:t>。</w:t>
            </w:r>
          </w:p>
        </w:tc>
      </w:tr>
      <w:tr w14:paraId="0B0F5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1" w:hRule="atLeast"/>
          <w:jc w:val="center"/>
        </w:trPr>
        <w:tc>
          <w:tcPr>
            <w:tcW w:w="344" w:type="pct"/>
            <w:vAlign w:val="center"/>
          </w:tcPr>
          <w:p w14:paraId="6AD8A8AF">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施工方案</w:t>
            </w:r>
          </w:p>
        </w:tc>
        <w:tc>
          <w:tcPr>
            <w:tcW w:w="4655" w:type="pct"/>
          </w:tcPr>
          <w:p w14:paraId="5EA99126">
            <w:pPr>
              <w:pStyle w:val="70"/>
              <w:ind w:firstLine="0"/>
              <w:jc w:val="left"/>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》中进行评价，且根据现场调查，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已于2023年11月开工建设，建设完工后于2024年6月投入试运行，</w:t>
            </w:r>
            <w:r>
              <w:rPr>
                <w:rFonts w:hint="default" w:ascii="Times New Roman" w:hAnsi="Times New Roman" w:eastAsia="宋体" w:cs="Times New Roman"/>
                <w:color w:val="auto"/>
                <w:kern w:val="0"/>
                <w:sz w:val="24"/>
                <w:szCs w:val="24"/>
                <w:highlight w:val="none"/>
                <w:lang w:val="en-US" w:eastAsia="zh-CN"/>
              </w:rPr>
              <w:t>升压站现已建设完工，项目施工期已结束，</w:t>
            </w:r>
            <w:r>
              <w:rPr>
                <w:rFonts w:hint="default" w:ascii="Times New Roman" w:hAnsi="Times New Roman" w:eastAsia="宋体" w:cs="Times New Roman"/>
                <w:bCs/>
                <w:color w:val="auto"/>
                <w:sz w:val="24"/>
                <w:highlight w:val="none"/>
              </w:rPr>
              <w:t>因此</w:t>
            </w:r>
            <w:r>
              <w:rPr>
                <w:rFonts w:hint="default" w:ascii="Times New Roman" w:hAnsi="Times New Roman" w:eastAsia="宋体" w:cs="Times New Roman"/>
                <w:bCs/>
                <w:color w:val="auto"/>
                <w:sz w:val="24"/>
                <w:highlight w:val="none"/>
                <w:lang w:val="en-US" w:eastAsia="zh-CN"/>
              </w:rPr>
              <w:t>本环评</w:t>
            </w:r>
            <w:r>
              <w:rPr>
                <w:rFonts w:hint="default" w:ascii="Times New Roman" w:hAnsi="Times New Roman" w:eastAsia="宋体" w:cs="Times New Roman"/>
                <w:bCs/>
                <w:color w:val="auto"/>
                <w:sz w:val="24"/>
                <w:highlight w:val="none"/>
              </w:rPr>
              <w:t>不</w:t>
            </w:r>
            <w:r>
              <w:rPr>
                <w:rFonts w:hint="default" w:ascii="Times New Roman" w:hAnsi="Times New Roman" w:eastAsia="宋体" w:cs="Times New Roman"/>
                <w:bCs/>
                <w:color w:val="auto"/>
                <w:sz w:val="24"/>
                <w:highlight w:val="none"/>
                <w:lang w:val="en-US" w:eastAsia="zh-CN"/>
              </w:rPr>
              <w:t>涉及</w:t>
            </w:r>
            <w:r>
              <w:rPr>
                <w:rFonts w:hint="default" w:ascii="Times New Roman" w:hAnsi="Times New Roman" w:eastAsia="宋体" w:cs="Times New Roman"/>
                <w:bCs/>
                <w:color w:val="auto"/>
                <w:sz w:val="24"/>
                <w:highlight w:val="none"/>
              </w:rPr>
              <w:t>施工</w:t>
            </w:r>
            <w:r>
              <w:rPr>
                <w:rFonts w:hint="default" w:ascii="Times New Roman" w:hAnsi="Times New Roman" w:eastAsia="宋体" w:cs="Times New Roman"/>
                <w:bCs/>
                <w:color w:val="auto"/>
                <w:sz w:val="24"/>
                <w:highlight w:val="none"/>
                <w:lang w:val="en-US" w:eastAsia="zh-CN"/>
              </w:rPr>
              <w:t>方案</w:t>
            </w:r>
            <w:r>
              <w:rPr>
                <w:rFonts w:hint="default" w:ascii="Times New Roman" w:hAnsi="Times New Roman" w:eastAsia="宋体" w:cs="Times New Roman"/>
                <w:color w:val="auto"/>
                <w:kern w:val="0"/>
                <w:sz w:val="24"/>
                <w:szCs w:val="24"/>
                <w:highlight w:val="none"/>
                <w:lang w:val="en-US" w:eastAsia="zh-CN"/>
              </w:rPr>
              <w:t>。</w:t>
            </w:r>
          </w:p>
        </w:tc>
      </w:tr>
      <w:tr w14:paraId="44488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 w:type="pct"/>
            <w:vAlign w:val="center"/>
          </w:tcPr>
          <w:p w14:paraId="010EB3F7">
            <w:pPr>
              <w:keepNext w:val="0"/>
              <w:keepLines w:val="0"/>
              <w:pageBreakBefore w:val="0"/>
              <w:widowControl w:val="0"/>
              <w:kinsoku/>
              <w:wordWrap/>
              <w:overflowPunct/>
              <w:topLinePunct w:val="0"/>
              <w:bidi w:val="0"/>
              <w:adjustRightInd/>
              <w:snapToGrid/>
              <w:spacing w:line="360" w:lineRule="auto"/>
              <w:ind w:left="-84" w:leftChars="-40" w:right="-84" w:rightChars="-4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highlight w:val="none"/>
              </w:rPr>
              <w:t>其他</w:t>
            </w:r>
          </w:p>
        </w:tc>
        <w:tc>
          <w:tcPr>
            <w:tcW w:w="4655" w:type="pct"/>
            <w:vAlign w:val="top"/>
          </w:tcPr>
          <w:p w14:paraId="01938783">
            <w:pPr>
              <w:adjustRightInd w:val="0"/>
              <w:spacing w:line="36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w:t>
            </w:r>
          </w:p>
        </w:tc>
      </w:tr>
    </w:tbl>
    <w:p w14:paraId="6EF4F50C">
      <w:pPr>
        <w:pStyle w:val="4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b/>
          <w:bCs/>
          <w:color w:val="auto"/>
          <w:highlight w:val="none"/>
        </w:rPr>
        <w:br w:type="page"/>
      </w:r>
      <w:bookmarkStart w:id="98" w:name="_Toc30071"/>
      <w:bookmarkStart w:id="99" w:name="_Toc23213"/>
      <w:bookmarkStart w:id="100" w:name="_Toc4079"/>
      <w:bookmarkStart w:id="101" w:name="_Toc15540"/>
      <w:bookmarkStart w:id="102" w:name="_Toc20802"/>
      <w:bookmarkStart w:id="103" w:name="_Toc31317"/>
      <w:bookmarkStart w:id="104" w:name="_Toc5732"/>
      <w:bookmarkStart w:id="105" w:name="_Toc88128709"/>
      <w:bookmarkStart w:id="106" w:name="_Toc992"/>
      <w:r>
        <w:rPr>
          <w:rFonts w:hint="default" w:ascii="Times New Roman" w:hAnsi="Times New Roman" w:eastAsia="宋体" w:cs="Times New Roman"/>
          <w:b/>
          <w:bCs/>
          <w:snapToGrid w:val="0"/>
          <w:color w:val="auto"/>
          <w:sz w:val="30"/>
          <w:szCs w:val="30"/>
          <w:highlight w:val="none"/>
        </w:rPr>
        <w:t>三、生态环境现状、保护目标及评价标准</w:t>
      </w:r>
      <w:bookmarkEnd w:id="98"/>
      <w:bookmarkEnd w:id="99"/>
      <w:bookmarkEnd w:id="100"/>
      <w:bookmarkEnd w:id="101"/>
      <w:bookmarkEnd w:id="102"/>
      <w:bookmarkEnd w:id="103"/>
      <w:bookmarkEnd w:id="104"/>
      <w:bookmarkEnd w:id="105"/>
      <w:bookmarkEnd w:id="106"/>
    </w:p>
    <w:tbl>
      <w:tblPr>
        <w:tblStyle w:val="49"/>
        <w:tblW w:w="51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103"/>
      </w:tblGrid>
      <w:tr w14:paraId="626CD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1282783D">
            <w:pPr>
              <w:adjustRightInd w:val="0"/>
              <w:spacing w:line="360" w:lineRule="auto"/>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生态环境现状</w:t>
            </w:r>
          </w:p>
        </w:tc>
        <w:tc>
          <w:tcPr>
            <w:tcW w:w="8105" w:type="dxa"/>
            <w:vAlign w:val="center"/>
          </w:tcPr>
          <w:p w14:paraId="54EE8FD1">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1、环境空气质量现状</w:t>
            </w:r>
          </w:p>
          <w:p w14:paraId="04CAE2C1">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rPr>
              <w:t>本</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kern w:val="0"/>
                <w:sz w:val="24"/>
                <w:highlight w:val="none"/>
              </w:rPr>
              <w:t>建设地点位于</w:t>
            </w:r>
            <w:r>
              <w:rPr>
                <w:rFonts w:hint="default" w:ascii="Times New Roman" w:hAnsi="Times New Roman" w:eastAsia="宋体" w:cs="Times New Roman"/>
                <w:color w:val="auto"/>
                <w:sz w:val="24"/>
                <w:szCs w:val="24"/>
                <w:highlight w:val="none"/>
                <w:u w:val="none"/>
                <w:lang w:eastAsia="zh-CN"/>
              </w:rPr>
              <w:t>昆明市禄劝县团街镇境内</w:t>
            </w:r>
            <w:r>
              <w:rPr>
                <w:rFonts w:hint="default" w:ascii="Times New Roman" w:hAnsi="Times New Roman" w:eastAsia="宋体" w:cs="Times New Roman"/>
                <w:color w:val="auto"/>
                <w:kern w:val="0"/>
                <w:sz w:val="24"/>
                <w:highlight w:val="none"/>
              </w:rPr>
              <w:t>，属环境空气质量二类区，执行《环境空气质量标准》（GB3095-2012）</w:t>
            </w:r>
            <w:r>
              <w:rPr>
                <w:rFonts w:hint="default" w:ascii="Times New Roman" w:hAnsi="Times New Roman" w:eastAsia="宋体" w:cs="Times New Roman"/>
                <w:color w:val="auto"/>
                <w:kern w:val="0"/>
                <w:sz w:val="24"/>
                <w:highlight w:val="none"/>
                <w:lang w:val="en-US" w:eastAsia="zh-CN"/>
              </w:rPr>
              <w:t>及其修改单</w:t>
            </w:r>
            <w:r>
              <w:rPr>
                <w:rFonts w:hint="default" w:ascii="Times New Roman" w:hAnsi="Times New Roman" w:eastAsia="宋体" w:cs="Times New Roman"/>
                <w:color w:val="auto"/>
                <w:kern w:val="0"/>
                <w:sz w:val="24"/>
                <w:highlight w:val="none"/>
              </w:rPr>
              <w:t>二级标准要求。</w:t>
            </w:r>
          </w:p>
          <w:p w14:paraId="4C1263D5">
            <w:pPr>
              <w:spacing w:line="360" w:lineRule="auto"/>
              <w:ind w:firstLine="464"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pacing w:val="-4"/>
                <w:sz w:val="24"/>
                <w:szCs w:val="24"/>
                <w:highlight w:val="none"/>
                <w:lang w:eastAsia="zh-CN"/>
              </w:rPr>
              <w:t>根据《202</w:t>
            </w:r>
            <w:r>
              <w:rPr>
                <w:rFonts w:hint="default" w:ascii="Times New Roman" w:hAnsi="Times New Roman" w:eastAsia="宋体" w:cs="Times New Roman"/>
                <w:color w:val="auto"/>
                <w:spacing w:val="-4"/>
                <w:sz w:val="24"/>
                <w:szCs w:val="24"/>
                <w:highlight w:val="none"/>
                <w:lang w:val="en-US" w:eastAsia="zh-CN"/>
              </w:rPr>
              <w:t>3</w:t>
            </w:r>
            <w:r>
              <w:rPr>
                <w:rFonts w:hint="default" w:ascii="Times New Roman" w:hAnsi="Times New Roman" w:eastAsia="宋体" w:cs="Times New Roman"/>
                <w:color w:val="auto"/>
                <w:spacing w:val="-4"/>
                <w:sz w:val="24"/>
                <w:szCs w:val="24"/>
                <w:highlight w:val="none"/>
                <w:lang w:eastAsia="zh-CN"/>
              </w:rPr>
              <w:t>年度昆明市生态环境状况公报》，昆明市</w:t>
            </w:r>
            <w:r>
              <w:rPr>
                <w:rFonts w:hint="default" w:ascii="Times New Roman" w:hAnsi="Times New Roman" w:eastAsia="宋体" w:cs="Times New Roman"/>
                <w:color w:val="auto"/>
                <w:spacing w:val="-5"/>
                <w:sz w:val="24"/>
                <w:szCs w:val="24"/>
                <w:highlight w:val="none"/>
                <w:lang w:eastAsia="zh-CN"/>
              </w:rPr>
              <w:t>市各县区环境空气</w:t>
            </w:r>
            <w:r>
              <w:rPr>
                <w:rFonts w:hint="default" w:ascii="Times New Roman" w:hAnsi="Times New Roman" w:eastAsia="宋体" w:cs="Times New Roman"/>
                <w:color w:val="auto"/>
                <w:spacing w:val="-1"/>
                <w:sz w:val="24"/>
                <w:szCs w:val="24"/>
                <w:highlight w:val="none"/>
                <w:lang w:eastAsia="zh-CN"/>
              </w:rPr>
              <w:t>质量总体保持良好，各项污染物平均浓度均达到</w:t>
            </w:r>
            <w:r>
              <w:rPr>
                <w:rFonts w:hint="default" w:ascii="Times New Roman" w:hAnsi="Times New Roman" w:eastAsia="宋体" w:cs="Times New Roman"/>
                <w:color w:val="auto"/>
                <w:kern w:val="0"/>
                <w:sz w:val="24"/>
                <w:highlight w:val="none"/>
              </w:rPr>
              <w:t>《环境空气质量标准》（GB3095-2012）</w:t>
            </w:r>
            <w:r>
              <w:rPr>
                <w:rFonts w:hint="default" w:ascii="Times New Roman" w:hAnsi="Times New Roman" w:eastAsia="宋体" w:cs="Times New Roman"/>
                <w:color w:val="auto"/>
                <w:spacing w:val="-1"/>
                <w:sz w:val="24"/>
                <w:szCs w:val="24"/>
                <w:highlight w:val="none"/>
                <w:lang w:eastAsia="zh-CN"/>
              </w:rPr>
              <w:t>二级</w:t>
            </w:r>
            <w:r>
              <w:rPr>
                <w:rFonts w:hint="default" w:ascii="Times New Roman" w:hAnsi="Times New Roman" w:eastAsia="宋体" w:cs="Times New Roman"/>
                <w:color w:val="auto"/>
                <w:spacing w:val="-1"/>
                <w:sz w:val="24"/>
                <w:szCs w:val="24"/>
                <w:highlight w:val="none"/>
                <w:lang w:val="en-US" w:eastAsia="zh-CN"/>
              </w:rPr>
              <w:t>环境</w:t>
            </w:r>
            <w:r>
              <w:rPr>
                <w:rFonts w:hint="default" w:ascii="Times New Roman" w:hAnsi="Times New Roman" w:eastAsia="宋体" w:cs="Times New Roman"/>
                <w:color w:val="auto"/>
                <w:spacing w:val="-1"/>
                <w:sz w:val="24"/>
                <w:szCs w:val="24"/>
                <w:highlight w:val="none"/>
                <w:lang w:eastAsia="zh-CN"/>
              </w:rPr>
              <w:t>空气质量标准</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由此判断，项目所在区域属于环境空气质量达标区</w:t>
            </w:r>
            <w:r>
              <w:rPr>
                <w:rFonts w:hint="default" w:ascii="Times New Roman" w:hAnsi="Times New Roman" w:eastAsia="宋体" w:cs="Times New Roman"/>
                <w:color w:val="auto"/>
                <w:sz w:val="24"/>
                <w:szCs w:val="24"/>
                <w:highlight w:val="none"/>
                <w:lang w:val="zh-CN"/>
              </w:rPr>
              <w:t>。</w:t>
            </w:r>
          </w:p>
          <w:p w14:paraId="15DCB11E">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2、地表水环境质量现状</w:t>
            </w:r>
          </w:p>
          <w:p w14:paraId="51BDE4F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勘查，本项目220kV升压站选址不涉及饮用水水源保护区，项目与云龙水库水源保护区的最近直线距离约9.8km，升压站周边最近地表水体为项目西侧约2.47km处的运昌大沟，运昌大沟为掌鸠河支流，掌鸠河为普渡河支流。根据《云南省水功能区划（2014年修订）》，运昌大沟未纳入水环境功能区划，普渡河该河段属普渡河富民-禄劝保留区，2030水质目标规划水平年水质目标为Ⅳ类，根据支流保护级别不得低于干流保护级别要求，运昌大沟执行《地表水环境质量标准》（GB3838-2002）Ⅳ类水质</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w:t>
            </w:r>
          </w:p>
          <w:p w14:paraId="33E0BA85">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pacing w:val="-4"/>
                <w:sz w:val="24"/>
                <w:szCs w:val="24"/>
                <w:highlight w:val="none"/>
                <w:lang w:eastAsia="zh-CN"/>
              </w:rPr>
              <w:t>《202</w:t>
            </w:r>
            <w:r>
              <w:rPr>
                <w:rFonts w:hint="default" w:ascii="Times New Roman" w:hAnsi="Times New Roman" w:eastAsia="宋体" w:cs="Times New Roman"/>
                <w:color w:val="auto"/>
                <w:spacing w:val="-4"/>
                <w:sz w:val="24"/>
                <w:szCs w:val="24"/>
                <w:highlight w:val="none"/>
                <w:lang w:val="en-US" w:eastAsia="zh-CN"/>
              </w:rPr>
              <w:t>3</w:t>
            </w:r>
            <w:r>
              <w:rPr>
                <w:rFonts w:hint="default" w:ascii="Times New Roman" w:hAnsi="Times New Roman" w:eastAsia="宋体" w:cs="Times New Roman"/>
                <w:color w:val="auto"/>
                <w:spacing w:val="-4"/>
                <w:sz w:val="24"/>
                <w:szCs w:val="24"/>
                <w:highlight w:val="none"/>
                <w:lang w:eastAsia="zh-CN"/>
              </w:rPr>
              <w:t>年度昆明市生态环境状况公报》，</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普渡河段的普渡河桥断面水质类别</w:t>
            </w:r>
            <w:r>
              <w:rPr>
                <w:rFonts w:hint="default" w:ascii="Times New Roman" w:hAnsi="Times New Roman" w:eastAsia="宋体" w:cs="Times New Roman"/>
                <w:color w:val="auto"/>
                <w:sz w:val="24"/>
                <w:szCs w:val="24"/>
                <w:highlight w:val="none"/>
                <w:lang w:val="en-US" w:eastAsia="zh-CN"/>
              </w:rPr>
              <w:t>为《地表水环境质量标准》（GB3838-2002）</w:t>
            </w:r>
            <w:r>
              <w:rPr>
                <w:rFonts w:hint="default" w:ascii="Times New Roman" w:hAnsi="Times New Roman" w:eastAsia="宋体" w:cs="Times New Roman"/>
                <w:color w:val="auto"/>
                <w:sz w:val="24"/>
                <w:szCs w:val="24"/>
                <w:highlight w:val="none"/>
              </w:rPr>
              <w:t>Ⅲ类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优于规划水平年水质目标Ⅳ类水质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由此判断</w:t>
            </w:r>
            <w:r>
              <w:rPr>
                <w:rFonts w:hint="default" w:ascii="Times New Roman" w:hAnsi="Times New Roman" w:eastAsia="宋体" w:cs="Times New Roman"/>
                <w:color w:val="auto"/>
                <w:sz w:val="24"/>
                <w:szCs w:val="24"/>
                <w:highlight w:val="none"/>
                <w:lang w:eastAsia="zh-CN"/>
              </w:rPr>
              <w:t>，项目区地表水环境质量现状良好</w:t>
            </w:r>
            <w:r>
              <w:rPr>
                <w:rFonts w:hint="default" w:ascii="Times New Roman" w:hAnsi="Times New Roman" w:eastAsia="宋体" w:cs="Times New Roman"/>
                <w:color w:val="auto"/>
                <w:sz w:val="24"/>
                <w:szCs w:val="24"/>
                <w:highlight w:val="none"/>
              </w:rPr>
              <w:t>。</w:t>
            </w:r>
          </w:p>
          <w:p w14:paraId="22E09E79">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、电磁环境质量现状</w:t>
            </w:r>
          </w:p>
          <w:p w14:paraId="408E936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根据《环境影响评价技术导则输变电》（HJ24-2020），监测点位</w:t>
            </w:r>
            <w:r>
              <w:rPr>
                <w:rFonts w:hint="default"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rPr>
              <w:t>包括电磁环境敏感目标、输电线路路径和站址，站址的布点方法以围墙四周均匀布点监测为主，如新建站址附近无其他电磁设施，则布点可简化，视情况在围墙四周布点或仅在站址中心布点监测。</w:t>
            </w:r>
            <w:r>
              <w:rPr>
                <w:rFonts w:hint="default" w:ascii="Times New Roman" w:hAnsi="Times New Roman" w:eastAsia="宋体" w:cs="Times New Roman"/>
                <w:color w:val="auto"/>
                <w:sz w:val="24"/>
                <w:highlight w:val="none"/>
                <w:lang w:val="en-US" w:eastAsia="zh-CN"/>
              </w:rPr>
              <w:t>本项目不涉及输电线路，根据现场调查，升压站站址周边40m范围内无电磁环境敏感目标，</w:t>
            </w:r>
            <w:r>
              <w:rPr>
                <w:rFonts w:hint="default" w:ascii="Times New Roman" w:hAnsi="Times New Roman" w:eastAsia="宋体" w:cs="Times New Roman"/>
                <w:color w:val="auto"/>
                <w:sz w:val="24"/>
                <w:highlight w:val="none"/>
              </w:rPr>
              <w:t>本次现状监测</w:t>
            </w:r>
            <w:r>
              <w:rPr>
                <w:rFonts w:hint="default" w:ascii="Times New Roman" w:hAnsi="Times New Roman" w:eastAsia="宋体" w:cs="Times New Roman"/>
                <w:color w:val="auto"/>
                <w:sz w:val="24"/>
                <w:highlight w:val="none"/>
                <w:lang w:val="en-US" w:eastAsia="zh-CN"/>
              </w:rPr>
              <w:t>在项目厂址</w:t>
            </w:r>
            <w:r>
              <w:rPr>
                <w:rFonts w:hint="default" w:ascii="Times New Roman" w:hAnsi="Times New Roman" w:eastAsia="宋体" w:cs="Times New Roman"/>
                <w:color w:val="auto"/>
                <w:sz w:val="24"/>
                <w:highlight w:val="none"/>
              </w:rPr>
              <w:t>厂界</w:t>
            </w:r>
            <w:r>
              <w:rPr>
                <w:rFonts w:hint="default" w:ascii="Times New Roman" w:hAnsi="Times New Roman" w:eastAsia="宋体" w:cs="Times New Roman"/>
                <w:color w:val="auto"/>
                <w:sz w:val="24"/>
                <w:highlight w:val="none"/>
                <w:lang w:val="en-US" w:eastAsia="zh-CN"/>
              </w:rPr>
              <w:t>四周</w:t>
            </w:r>
            <w:r>
              <w:rPr>
                <w:rFonts w:hint="default" w:ascii="Times New Roman" w:hAnsi="Times New Roman" w:eastAsia="宋体" w:cs="Times New Roman"/>
                <w:color w:val="auto"/>
                <w:sz w:val="24"/>
                <w:highlight w:val="none"/>
              </w:rPr>
              <w:t>均布置了监测点位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同时于</w:t>
            </w:r>
            <w:r>
              <w:rPr>
                <w:rFonts w:hint="default" w:ascii="Times New Roman" w:hAnsi="Times New Roman" w:eastAsia="宋体" w:cs="Times New Roman"/>
                <w:color w:val="auto"/>
                <w:sz w:val="24"/>
                <w:szCs w:val="24"/>
                <w:highlight w:val="none"/>
                <w:lang w:val="en-US" w:eastAsia="zh-CN"/>
              </w:rPr>
              <w:t>站址西南侧围墙外设置了1个断面监测点，</w:t>
            </w:r>
            <w:r>
              <w:rPr>
                <w:rFonts w:hint="default" w:ascii="Times New Roman" w:hAnsi="Times New Roman" w:eastAsia="宋体" w:cs="Times New Roman"/>
                <w:color w:val="auto"/>
                <w:sz w:val="24"/>
                <w:highlight w:val="none"/>
                <w:lang w:val="en-US" w:eastAsia="zh-CN"/>
              </w:rPr>
              <w:t>本次现状监测布点满足相关要求</w:t>
            </w:r>
            <w:r>
              <w:rPr>
                <w:rFonts w:hint="default" w:ascii="Times New Roman" w:hAnsi="Times New Roman" w:eastAsia="宋体" w:cs="Times New Roman"/>
                <w:color w:val="auto"/>
                <w:sz w:val="24"/>
                <w:highlight w:val="none"/>
              </w:rPr>
              <w:t>。</w:t>
            </w:r>
          </w:p>
          <w:p w14:paraId="769871D1">
            <w:pPr>
              <w:spacing w:line="360" w:lineRule="auto"/>
              <w:ind w:firstLine="352" w:firstLineChars="14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本次环境影响评价阶段，建设单位于2024年10月12日委托云南科环环境工程咨询有限公司对升压站进行了电磁环境监测，监测点位为：厂界四周分别设置了1个监测点，站址西南侧围墙外设置了1个断面监测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由于</w:t>
            </w:r>
            <w:r>
              <w:rPr>
                <w:rFonts w:hint="default" w:ascii="Times New Roman" w:hAnsi="Times New Roman" w:eastAsia="宋体" w:cs="Times New Roman"/>
                <w:color w:val="auto"/>
                <w:sz w:val="24"/>
                <w:highlight w:val="none"/>
              </w:rPr>
              <w:t>站址</w:t>
            </w:r>
            <w:r>
              <w:rPr>
                <w:rFonts w:hint="default" w:ascii="Times New Roman" w:hAnsi="Times New Roman" w:eastAsia="宋体" w:cs="Times New Roman"/>
                <w:color w:val="auto"/>
                <w:sz w:val="24"/>
                <w:highlight w:val="none"/>
                <w:lang w:val="en-US" w:eastAsia="zh-CN"/>
              </w:rPr>
              <w:t>周边均为林地，站址西南侧为进站道路</w:t>
            </w:r>
            <w:r>
              <w:rPr>
                <w:rFonts w:hint="default" w:ascii="Times New Roman" w:hAnsi="Times New Roman" w:eastAsia="宋体" w:cs="Times New Roman"/>
                <w:color w:val="auto"/>
                <w:sz w:val="24"/>
                <w:highlight w:val="none"/>
              </w:rPr>
              <w:t>，相对宽敞，故监测断面选择在站址</w:t>
            </w:r>
            <w:r>
              <w:rPr>
                <w:rFonts w:hint="default" w:ascii="Times New Roman" w:hAnsi="Times New Roman" w:eastAsia="宋体" w:cs="Times New Roman"/>
                <w:color w:val="auto"/>
                <w:sz w:val="24"/>
                <w:highlight w:val="none"/>
                <w:lang w:val="en-US" w:eastAsia="zh-CN"/>
              </w:rPr>
              <w:t>西南</w:t>
            </w:r>
            <w:r>
              <w:rPr>
                <w:rFonts w:hint="default" w:ascii="Times New Roman" w:hAnsi="Times New Roman" w:eastAsia="宋体" w:cs="Times New Roman"/>
                <w:color w:val="auto"/>
                <w:sz w:val="24"/>
                <w:highlight w:val="none"/>
              </w:rPr>
              <w:t>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进站道路一侧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，以围墙为起点，避开进出线，依次外测到50m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2"/>
                <w:highlight w:val="none"/>
                <w:lang w:val="en-US" w:eastAsia="zh-CN"/>
              </w:rPr>
              <w:t>本次电磁环境监测期间，升压站为正常运行工况，</w:t>
            </w: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各</w:t>
            </w:r>
            <w:r>
              <w:rPr>
                <w:rFonts w:hint="default" w:ascii="Times New Roman" w:hAnsi="Times New Roman" w:eastAsia="宋体" w:cs="Times New Roman"/>
                <w:color w:val="auto"/>
                <w:sz w:val="24"/>
                <w:highlight w:val="none"/>
              </w:rPr>
              <w:t>监测点位的布设，监测数据能够反映</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rPr>
              <w:t>周围电磁环境</w:t>
            </w:r>
            <w:r>
              <w:rPr>
                <w:rFonts w:hint="default" w:ascii="Times New Roman" w:hAnsi="Times New Roman" w:eastAsia="宋体" w:cs="Times New Roman"/>
                <w:color w:val="auto"/>
                <w:sz w:val="24"/>
                <w:highlight w:val="none"/>
                <w:lang w:val="en-US" w:eastAsia="zh-CN"/>
              </w:rPr>
              <w:t>影响情况</w:t>
            </w:r>
            <w:r>
              <w:rPr>
                <w:rFonts w:hint="default" w:ascii="Times New Roman" w:hAnsi="Times New Roman" w:eastAsia="宋体" w:cs="Times New Roman"/>
                <w:color w:val="auto"/>
                <w:sz w:val="24"/>
                <w:highlight w:val="none"/>
              </w:rPr>
              <w:t>，监测点位布设合理。</w:t>
            </w:r>
          </w:p>
          <w:p w14:paraId="07AD391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①</w:t>
            </w:r>
            <w:r>
              <w:rPr>
                <w:rFonts w:hint="default" w:ascii="Times New Roman" w:hAnsi="Times New Roman" w:eastAsia="宋体" w:cs="Times New Roman"/>
                <w:b/>
                <w:bCs/>
                <w:color w:val="auto"/>
                <w:sz w:val="24"/>
                <w:highlight w:val="none"/>
              </w:rPr>
              <w:t>监测工况及</w:t>
            </w:r>
            <w:r>
              <w:rPr>
                <w:rFonts w:hint="default" w:ascii="Times New Roman" w:hAnsi="Times New Roman" w:eastAsia="宋体" w:cs="Times New Roman"/>
                <w:b/>
                <w:bCs/>
                <w:color w:val="auto"/>
                <w:sz w:val="24"/>
                <w:highlight w:val="none"/>
                <w:lang w:val="en-US" w:eastAsia="zh-CN"/>
              </w:rPr>
              <w:t>气象条件</w:t>
            </w:r>
          </w:p>
          <w:p w14:paraId="3BD6AE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rPr>
              <w:t>根据监测报告，</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监测期间</w:t>
            </w:r>
            <w:r>
              <w:rPr>
                <w:rFonts w:hint="default" w:ascii="Times New Roman" w:hAnsi="Times New Roman" w:eastAsia="宋体" w:cs="Times New Roman"/>
                <w:color w:val="auto"/>
                <w:sz w:val="24"/>
                <w:highlight w:val="none"/>
              </w:rPr>
              <w:t>相关</w:t>
            </w:r>
            <w:r>
              <w:rPr>
                <w:rFonts w:hint="default" w:ascii="Times New Roman" w:hAnsi="Times New Roman" w:eastAsia="宋体" w:cs="Times New Roman"/>
                <w:color w:val="auto"/>
                <w:sz w:val="24"/>
                <w:highlight w:val="none"/>
                <w:lang w:val="en-US" w:eastAsia="zh-CN"/>
              </w:rPr>
              <w:t>气象条件</w:t>
            </w:r>
            <w:r>
              <w:rPr>
                <w:rFonts w:hint="default" w:ascii="Times New Roman" w:hAnsi="Times New Roman" w:eastAsia="宋体" w:cs="Times New Roman"/>
                <w:color w:val="auto"/>
                <w:sz w:val="24"/>
                <w:highlight w:val="none"/>
              </w:rPr>
              <w:t>如下：</w:t>
            </w:r>
          </w:p>
          <w:p w14:paraId="03658636">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220kV升压站监测期间气象条件</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530"/>
              <w:gridCol w:w="1463"/>
              <w:gridCol w:w="1411"/>
              <w:gridCol w:w="1082"/>
              <w:gridCol w:w="1196"/>
            </w:tblGrid>
            <w:tr w14:paraId="35C5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58" w:type="pct"/>
                  <w:tcBorders>
                    <w:top w:val="single" w:color="auto" w:sz="4" w:space="0"/>
                    <w:left w:val="single" w:color="auto" w:sz="4" w:space="0"/>
                    <w:bottom w:val="single" w:color="auto" w:sz="4" w:space="0"/>
                    <w:right w:val="single" w:color="auto" w:sz="4" w:space="0"/>
                  </w:tcBorders>
                  <w:noWrap w:val="0"/>
                  <w:vAlign w:val="center"/>
                </w:tcPr>
                <w:p w14:paraId="409B018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天 气</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144959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温度（℃）</w:t>
                  </w:r>
                </w:p>
              </w:tc>
              <w:tc>
                <w:tcPr>
                  <w:tcW w:w="928" w:type="pct"/>
                  <w:tcBorders>
                    <w:top w:val="single" w:color="auto" w:sz="4" w:space="0"/>
                    <w:left w:val="single" w:color="auto" w:sz="4" w:space="0"/>
                    <w:bottom w:val="single" w:color="auto" w:sz="4" w:space="0"/>
                    <w:right w:val="single" w:color="auto" w:sz="4" w:space="0"/>
                  </w:tcBorders>
                  <w:noWrap w:val="0"/>
                  <w:vAlign w:val="center"/>
                </w:tcPr>
                <w:p w14:paraId="0F5C6C6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湿度（RH%）</w:t>
                  </w:r>
                </w:p>
              </w:tc>
              <w:tc>
                <w:tcPr>
                  <w:tcW w:w="895" w:type="pct"/>
                  <w:tcBorders>
                    <w:top w:val="single" w:color="auto" w:sz="4" w:space="0"/>
                    <w:left w:val="single" w:color="auto" w:sz="4" w:space="0"/>
                    <w:bottom w:val="single" w:color="auto" w:sz="4" w:space="0"/>
                    <w:right w:val="single" w:color="auto" w:sz="4" w:space="0"/>
                  </w:tcBorders>
                  <w:noWrap w:val="0"/>
                  <w:vAlign w:val="center"/>
                </w:tcPr>
                <w:p w14:paraId="0A3DCDC7">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大气压</w:t>
                  </w:r>
                  <w:r>
                    <w:rPr>
                      <w:rFonts w:hint="default" w:ascii="Times New Roman" w:hAnsi="Times New Roman" w:eastAsia="宋体" w:cs="Times New Roman"/>
                      <w:b/>
                      <w:bCs/>
                      <w:color w:val="auto"/>
                      <w:sz w:val="21"/>
                      <w:szCs w:val="21"/>
                      <w:highlight w:val="none"/>
                      <w:lang w:eastAsia="zh-CN"/>
                    </w:rPr>
                    <w:t>（kPa）</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7C8FDF0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风向</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0752220A">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风速（</w:t>
                  </w:r>
                  <w:r>
                    <w:rPr>
                      <w:rFonts w:hint="default" w:ascii="Times New Roman" w:hAnsi="Times New Roman" w:eastAsia="宋体" w:cs="Times New Roman"/>
                      <w:b/>
                      <w:bCs/>
                      <w:color w:val="auto"/>
                      <w:sz w:val="21"/>
                      <w:szCs w:val="21"/>
                      <w:highlight w:val="none"/>
                    </w:rPr>
                    <w:t>m/s</w:t>
                  </w:r>
                  <w:r>
                    <w:rPr>
                      <w:rFonts w:hint="default" w:ascii="Times New Roman" w:hAnsi="Times New Roman" w:eastAsia="宋体" w:cs="Times New Roman"/>
                      <w:b/>
                      <w:bCs/>
                      <w:color w:val="auto"/>
                      <w:sz w:val="21"/>
                      <w:szCs w:val="21"/>
                      <w:highlight w:val="none"/>
                      <w:lang w:eastAsia="zh-CN"/>
                    </w:rPr>
                    <w:t>）</w:t>
                  </w:r>
                </w:p>
              </w:tc>
            </w:tr>
            <w:tr w14:paraId="6DE7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8" w:type="pct"/>
                  <w:tcBorders>
                    <w:top w:val="single" w:color="auto" w:sz="4" w:space="0"/>
                    <w:left w:val="single" w:color="auto" w:sz="4" w:space="0"/>
                    <w:bottom w:val="single" w:color="auto" w:sz="4" w:space="0"/>
                    <w:right w:val="single" w:color="auto" w:sz="4" w:space="0"/>
                  </w:tcBorders>
                  <w:noWrap w:val="0"/>
                  <w:vAlign w:val="center"/>
                </w:tcPr>
                <w:p w14:paraId="37CB0D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晴</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6C2262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23.0-33.4</w:t>
                  </w:r>
                </w:p>
              </w:tc>
              <w:tc>
                <w:tcPr>
                  <w:tcW w:w="928" w:type="pct"/>
                  <w:tcBorders>
                    <w:top w:val="single" w:color="auto" w:sz="4" w:space="0"/>
                    <w:left w:val="single" w:color="auto" w:sz="4" w:space="0"/>
                    <w:bottom w:val="single" w:color="auto" w:sz="4" w:space="0"/>
                    <w:right w:val="single" w:color="auto" w:sz="4" w:space="0"/>
                  </w:tcBorders>
                  <w:noWrap w:val="0"/>
                  <w:vAlign w:val="center"/>
                </w:tcPr>
                <w:p w14:paraId="6BEC90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38-64</w:t>
                  </w:r>
                </w:p>
              </w:tc>
              <w:tc>
                <w:tcPr>
                  <w:tcW w:w="895" w:type="pct"/>
                  <w:tcBorders>
                    <w:top w:val="single" w:color="auto" w:sz="4" w:space="0"/>
                    <w:left w:val="single" w:color="auto" w:sz="4" w:space="0"/>
                    <w:bottom w:val="single" w:color="auto" w:sz="4" w:space="0"/>
                    <w:right w:val="single" w:color="auto" w:sz="4" w:space="0"/>
                  </w:tcBorders>
                  <w:noWrap w:val="0"/>
                  <w:vAlign w:val="center"/>
                </w:tcPr>
                <w:p w14:paraId="0041F8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90.2-90.8</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1B9771D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w:t>
                  </w:r>
                  <w:r>
                    <w:rPr>
                      <w:rFonts w:hint="default" w:ascii="Times New Roman" w:hAnsi="Times New Roman" w:eastAsia="宋体" w:cs="Times New Roman"/>
                      <w:color w:val="auto"/>
                      <w:sz w:val="21"/>
                      <w:szCs w:val="21"/>
                      <w:highlight w:val="none"/>
                      <w:lang w:eastAsia="zh-CN"/>
                    </w:rPr>
                    <w:t>风</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3D1CEAD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bidi="he-IL"/>
                    </w:rPr>
                    <w:t>0.9-1.7</w:t>
                  </w:r>
                </w:p>
              </w:tc>
            </w:tr>
          </w:tbl>
          <w:p w14:paraId="200A6E3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根据监测报告，</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升压站</w:t>
            </w:r>
            <w:r>
              <w:rPr>
                <w:rFonts w:hint="default" w:ascii="Times New Roman" w:hAnsi="Times New Roman" w:eastAsia="宋体" w:cs="Times New Roman"/>
                <w:color w:val="auto"/>
                <w:sz w:val="24"/>
                <w:highlight w:val="none"/>
                <w:lang w:val="en-US" w:eastAsia="zh-CN"/>
              </w:rPr>
              <w:t>主变压器监测期间</w:t>
            </w:r>
            <w:r>
              <w:rPr>
                <w:rFonts w:hint="default" w:ascii="Times New Roman" w:hAnsi="Times New Roman" w:eastAsia="宋体" w:cs="Times New Roman"/>
                <w:color w:val="auto"/>
                <w:sz w:val="24"/>
                <w:highlight w:val="none"/>
              </w:rPr>
              <w:t>相关运行工况如下：</w:t>
            </w:r>
          </w:p>
          <w:p w14:paraId="3F0F1EB2">
            <w:pPr>
              <w:keepNext w:val="0"/>
              <w:keepLines w:val="0"/>
              <w:pageBreakBefore w:val="0"/>
              <w:widowControl/>
              <w:kinsoku/>
              <w:wordWrap/>
              <w:overflowPunct/>
              <w:topLinePunct w:val="0"/>
              <w:autoSpaceDE/>
              <w:autoSpaceDN/>
              <w:bidi w:val="0"/>
              <w:adjustRightInd/>
              <w:snapToGrid/>
              <w:spacing w:line="360" w:lineRule="auto"/>
              <w:ind w:firstLine="510"/>
              <w:jc w:val="center"/>
              <w:textAlignment w:val="auto"/>
              <w:rPr>
                <w:rFonts w:hint="default" w:ascii="Times New Roman" w:hAnsi="Times New Roman" w:eastAsia="宋体" w:cs="Times New Roman"/>
                <w:b/>
                <w:color w:val="auto"/>
                <w:sz w:val="24"/>
                <w:szCs w:val="24"/>
                <w:highlight w:val="none"/>
                <w:lang w:val="en-US"/>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3-2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本项目220kV变电站主变压器运行工况一览表</w:t>
            </w:r>
          </w:p>
          <w:tbl>
            <w:tblPr>
              <w:tblStyle w:val="49"/>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715"/>
              <w:gridCol w:w="1680"/>
              <w:gridCol w:w="1545"/>
              <w:gridCol w:w="1559"/>
            </w:tblGrid>
            <w:tr w14:paraId="2C01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2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6655D1C7">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主变压器</w:t>
                  </w:r>
                </w:p>
              </w:tc>
              <w:tc>
                <w:tcPr>
                  <w:tcW w:w="1074"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63219C05">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电压值（kV）</w:t>
                  </w:r>
                </w:p>
              </w:tc>
              <w:tc>
                <w:tcPr>
                  <w:tcW w:w="1053"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31993FAC">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电流值（A）</w:t>
                  </w:r>
                </w:p>
              </w:tc>
              <w:tc>
                <w:tcPr>
                  <w:tcW w:w="9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78CB43FB">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有功功率</w:t>
                  </w:r>
                </w:p>
                <w:p w14:paraId="7ABCC313">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w:t>
                  </w:r>
                </w:p>
              </w:tc>
              <w:tc>
                <w:tcPr>
                  <w:tcW w:w="977"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0DA111C3">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无功功率</w:t>
                  </w:r>
                </w:p>
                <w:p w14:paraId="4282E41D">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w:t>
                  </w:r>
                </w:p>
              </w:tc>
            </w:tr>
            <w:tr w14:paraId="099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2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21D37327">
                  <w:pPr>
                    <w:pStyle w:val="325"/>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sz w:val="21"/>
                      <w:szCs w:val="21"/>
                      <w:highlight w:val="none"/>
                    </w:rPr>
                    <w:t>主变（</w:t>
                  </w: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MVA）</w:t>
                  </w:r>
                </w:p>
              </w:tc>
              <w:tc>
                <w:tcPr>
                  <w:tcW w:w="1074"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040997A3">
                  <w:pPr>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230.99-235.00</w:t>
                  </w:r>
                </w:p>
              </w:tc>
              <w:tc>
                <w:tcPr>
                  <w:tcW w:w="1053"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67F4C141">
                  <w:pPr>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1.86~307.29</w:t>
                  </w:r>
                </w:p>
              </w:tc>
              <w:tc>
                <w:tcPr>
                  <w:tcW w:w="9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51A5212E">
                  <w:pPr>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-0.86~112.4</w:t>
                  </w:r>
                </w:p>
              </w:tc>
              <w:tc>
                <w:tcPr>
                  <w:tcW w:w="977"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3F47AEFD">
                  <w:pPr>
                    <w:keepNext w:val="0"/>
                    <w:keepLines w:val="0"/>
                    <w:pageBreakBefore w:val="0"/>
                    <w:widowControl w:val="0"/>
                    <w:kinsoku/>
                    <w:wordWrap/>
                    <w:overflowPunct/>
                    <w:topLinePunct w:val="0"/>
                    <w:bidi w:val="0"/>
                    <w:adjustRightInd/>
                    <w:snapToGrid/>
                    <w:spacing w:line="24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-2.16~46.59</w:t>
                  </w:r>
                </w:p>
              </w:tc>
            </w:tr>
          </w:tbl>
          <w:p w14:paraId="36B9B856">
            <w:pPr>
              <w:widowControl/>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highlight w:val="none"/>
                <w:lang w:val="en-US" w:eastAsia="zh-CN"/>
              </w:rPr>
              <w:t xml:space="preserve">    ②</w:t>
            </w:r>
            <w:r>
              <w:rPr>
                <w:rFonts w:hint="default" w:ascii="Times New Roman" w:hAnsi="Times New Roman" w:eastAsia="宋体" w:cs="Times New Roman"/>
                <w:b/>
                <w:color w:val="auto"/>
                <w:sz w:val="24"/>
                <w:highlight w:val="none"/>
              </w:rPr>
              <w:t>监测仪器</w:t>
            </w:r>
          </w:p>
          <w:p w14:paraId="038D7171">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本次环境影响评价阶段，建设单位于2024年10月12日委托云南科环环境工程咨询有限公司对升压站进行了电磁环境监测</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云南科环环境工程咨询有限公司</w:t>
            </w:r>
            <w:r>
              <w:rPr>
                <w:rFonts w:hint="default" w:ascii="Times New Roman" w:hAnsi="Times New Roman" w:eastAsia="宋体" w:cs="Times New Roman"/>
                <w:color w:val="auto"/>
                <w:sz w:val="24"/>
                <w:szCs w:val="28"/>
                <w:highlight w:val="none"/>
              </w:rPr>
              <w:t>已具备监测资质，详见附件1</w:t>
            </w:r>
            <w:r>
              <w:rPr>
                <w:rFonts w:hint="default" w:ascii="Times New Roman" w:hAnsi="Times New Roman" w:eastAsia="宋体"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rPr>
              <w:t>中现状监测报告。</w:t>
            </w:r>
          </w:p>
          <w:p w14:paraId="317C79FF">
            <w:pPr>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3-3</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电磁环境</w:t>
            </w:r>
            <w:r>
              <w:rPr>
                <w:rFonts w:hint="default" w:ascii="Times New Roman" w:hAnsi="Times New Roman" w:eastAsia="宋体" w:cs="Times New Roman"/>
                <w:b/>
                <w:bCs/>
                <w:color w:val="auto"/>
                <w:sz w:val="24"/>
                <w:highlight w:val="none"/>
              </w:rPr>
              <w:t>监测仪器</w:t>
            </w:r>
            <w:r>
              <w:rPr>
                <w:rFonts w:hint="default" w:ascii="Times New Roman" w:hAnsi="Times New Roman" w:eastAsia="宋体" w:cs="Times New Roman"/>
                <w:b/>
                <w:bCs/>
                <w:color w:val="auto"/>
                <w:sz w:val="24"/>
                <w:highlight w:val="none"/>
                <w:lang w:val="en-US" w:eastAsia="zh-CN"/>
              </w:rPr>
              <w:t>一览表</w:t>
            </w:r>
          </w:p>
          <w:tbl>
            <w:tblPr>
              <w:tblStyle w:val="49"/>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034"/>
              <w:gridCol w:w="986"/>
              <w:gridCol w:w="1236"/>
              <w:gridCol w:w="950"/>
              <w:gridCol w:w="1583"/>
              <w:gridCol w:w="1248"/>
            </w:tblGrid>
            <w:tr w14:paraId="4DA0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00" w:type="pct"/>
                  <w:noWrap w:val="0"/>
                  <w:vAlign w:val="center"/>
                </w:tcPr>
                <w:p w14:paraId="2AAC976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w:t>
                  </w:r>
                </w:p>
                <w:p w14:paraId="46609BC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46" w:type="pct"/>
                  <w:noWrap w:val="0"/>
                  <w:vAlign w:val="center"/>
                </w:tcPr>
                <w:p w14:paraId="2166A29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616" w:type="pct"/>
                  <w:noWrap w:val="0"/>
                  <w:vAlign w:val="center"/>
                </w:tcPr>
                <w:p w14:paraId="6380405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仪器编号</w:t>
                  </w:r>
                </w:p>
              </w:tc>
              <w:tc>
                <w:tcPr>
                  <w:tcW w:w="772" w:type="pct"/>
                  <w:noWrap w:val="0"/>
                  <w:vAlign w:val="center"/>
                </w:tcPr>
                <w:p w14:paraId="25C0388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测量</w:t>
                  </w:r>
                </w:p>
                <w:p w14:paraId="0038CED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范围</w:t>
                  </w:r>
                </w:p>
              </w:tc>
              <w:tc>
                <w:tcPr>
                  <w:tcW w:w="593" w:type="pct"/>
                  <w:noWrap w:val="0"/>
                  <w:vAlign w:val="center"/>
                </w:tcPr>
                <w:p w14:paraId="2E41AC8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检/校有效期</w:t>
                  </w:r>
                </w:p>
              </w:tc>
              <w:tc>
                <w:tcPr>
                  <w:tcW w:w="989" w:type="pct"/>
                  <w:noWrap w:val="0"/>
                  <w:vAlign w:val="center"/>
                </w:tcPr>
                <w:p w14:paraId="4C2714E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证书编号</w:t>
                  </w:r>
                </w:p>
              </w:tc>
              <w:tc>
                <w:tcPr>
                  <w:tcW w:w="780" w:type="pct"/>
                  <w:noWrap w:val="0"/>
                  <w:vAlign w:val="center"/>
                </w:tcPr>
                <w:p w14:paraId="321A08A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检/校单位</w:t>
                  </w:r>
                </w:p>
              </w:tc>
            </w:tr>
            <w:tr w14:paraId="27B5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00" w:type="pct"/>
                  <w:vMerge w:val="restart"/>
                  <w:noWrap w:val="0"/>
                  <w:vAlign w:val="center"/>
                </w:tcPr>
                <w:p w14:paraId="690B224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电磁辐射分析仪</w:t>
                  </w:r>
                </w:p>
              </w:tc>
              <w:tc>
                <w:tcPr>
                  <w:tcW w:w="646" w:type="pct"/>
                  <w:vMerge w:val="restart"/>
                  <w:noWrap w:val="0"/>
                  <w:vAlign w:val="center"/>
                </w:tcPr>
                <w:p w14:paraId="10A5D63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LF-01D&amp;SEM-600</w:t>
                  </w:r>
                </w:p>
              </w:tc>
              <w:tc>
                <w:tcPr>
                  <w:tcW w:w="616" w:type="pct"/>
                  <w:vMerge w:val="restart"/>
                  <w:noWrap w:val="0"/>
                  <w:vAlign w:val="center"/>
                </w:tcPr>
                <w:p w14:paraId="5BC07B1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KH-0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5</w:t>
                  </w:r>
                </w:p>
              </w:tc>
              <w:tc>
                <w:tcPr>
                  <w:tcW w:w="772" w:type="pct"/>
                  <w:noWrap w:val="0"/>
                  <w:vAlign w:val="center"/>
                </w:tcPr>
                <w:p w14:paraId="047659F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0.01V/m-100KV/m</w:t>
                  </w:r>
                </w:p>
              </w:tc>
              <w:tc>
                <w:tcPr>
                  <w:tcW w:w="593" w:type="pct"/>
                  <w:vMerge w:val="restart"/>
                  <w:noWrap w:val="0"/>
                  <w:vAlign w:val="center"/>
                </w:tcPr>
                <w:p w14:paraId="01BCB15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年06月</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日</w:t>
                  </w:r>
                </w:p>
              </w:tc>
              <w:tc>
                <w:tcPr>
                  <w:tcW w:w="989" w:type="pct"/>
                  <w:noWrap w:val="0"/>
                  <w:vAlign w:val="center"/>
                </w:tcPr>
                <w:p w14:paraId="5DCCF00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JL2400890648</w:t>
                  </w:r>
                  <w:r>
                    <w:rPr>
                      <w:rFonts w:hint="default" w:ascii="Times New Roman" w:hAnsi="Times New Roman" w:eastAsia="宋体" w:cs="Times New Roman"/>
                      <w:color w:val="auto"/>
                      <w:sz w:val="21"/>
                      <w:szCs w:val="21"/>
                      <w:highlight w:val="none"/>
                    </w:rPr>
                    <w:t xml:space="preserve"> </w:t>
                  </w:r>
                </w:p>
              </w:tc>
              <w:tc>
                <w:tcPr>
                  <w:tcW w:w="780" w:type="pct"/>
                  <w:vMerge w:val="restart"/>
                  <w:noWrap w:val="0"/>
                  <w:vAlign w:val="center"/>
                </w:tcPr>
                <w:p w14:paraId="0950D6D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深圳市</w:t>
                  </w:r>
                  <w:r>
                    <w:rPr>
                      <w:rFonts w:hint="default" w:ascii="Times New Roman" w:hAnsi="Times New Roman" w:eastAsia="宋体" w:cs="Times New Roman"/>
                      <w:color w:val="auto"/>
                      <w:sz w:val="21"/>
                      <w:szCs w:val="21"/>
                      <w:highlight w:val="none"/>
                    </w:rPr>
                    <w:t>计量</w:t>
                  </w:r>
                  <w:r>
                    <w:rPr>
                      <w:rFonts w:hint="default" w:ascii="Times New Roman" w:hAnsi="Times New Roman" w:eastAsia="宋体" w:cs="Times New Roman"/>
                      <w:color w:val="auto"/>
                      <w:sz w:val="21"/>
                      <w:szCs w:val="21"/>
                      <w:highlight w:val="none"/>
                      <w:lang w:val="en-US" w:eastAsia="zh-CN"/>
                    </w:rPr>
                    <w:t>质量检测</w:t>
                  </w:r>
                  <w:r>
                    <w:rPr>
                      <w:rFonts w:hint="default" w:ascii="Times New Roman" w:hAnsi="Times New Roman" w:eastAsia="宋体" w:cs="Times New Roman"/>
                      <w:color w:val="auto"/>
                      <w:sz w:val="21"/>
                      <w:szCs w:val="21"/>
                      <w:highlight w:val="none"/>
                    </w:rPr>
                    <w:t>研究院</w:t>
                  </w:r>
                </w:p>
              </w:tc>
            </w:tr>
            <w:tr w14:paraId="365B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pct"/>
                  <w:vMerge w:val="continue"/>
                  <w:noWrap w:val="0"/>
                  <w:vAlign w:val="center"/>
                </w:tcPr>
                <w:p w14:paraId="4C6606C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646" w:type="pct"/>
                  <w:vMerge w:val="continue"/>
                  <w:noWrap w:val="0"/>
                  <w:vAlign w:val="center"/>
                </w:tcPr>
                <w:p w14:paraId="79020B2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616" w:type="pct"/>
                  <w:vMerge w:val="continue"/>
                  <w:noWrap w:val="0"/>
                  <w:vAlign w:val="center"/>
                </w:tcPr>
                <w:p w14:paraId="7F96E65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772" w:type="pct"/>
                  <w:noWrap w:val="0"/>
                  <w:vAlign w:val="center"/>
                </w:tcPr>
                <w:p w14:paraId="0D0A3E3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1nT-10mT</w:t>
                  </w:r>
                </w:p>
              </w:tc>
              <w:tc>
                <w:tcPr>
                  <w:tcW w:w="593" w:type="pct"/>
                  <w:vMerge w:val="continue"/>
                  <w:noWrap w:val="0"/>
                  <w:vAlign w:val="center"/>
                </w:tcPr>
                <w:p w14:paraId="718E9AA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989" w:type="pct"/>
                  <w:noWrap w:val="0"/>
                  <w:vAlign w:val="center"/>
                </w:tcPr>
                <w:p w14:paraId="4104551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JL2400890648</w:t>
                  </w:r>
                  <w:r>
                    <w:rPr>
                      <w:rFonts w:hint="default" w:ascii="Times New Roman" w:hAnsi="Times New Roman" w:eastAsia="宋体" w:cs="Times New Roman"/>
                      <w:color w:val="auto"/>
                      <w:sz w:val="21"/>
                      <w:szCs w:val="21"/>
                      <w:highlight w:val="none"/>
                    </w:rPr>
                    <w:t xml:space="preserve"> </w:t>
                  </w:r>
                </w:p>
              </w:tc>
              <w:tc>
                <w:tcPr>
                  <w:tcW w:w="780" w:type="pct"/>
                  <w:vMerge w:val="continue"/>
                  <w:noWrap w:val="0"/>
                  <w:vAlign w:val="center"/>
                </w:tcPr>
                <w:p w14:paraId="2F52797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r>
          </w:tbl>
          <w:p w14:paraId="2173BBE7">
            <w:pPr>
              <w:spacing w:line="360" w:lineRule="auto"/>
              <w:ind w:firstLine="354" w:firstLineChars="147"/>
              <w:rPr>
                <w:rFonts w:hint="default" w:ascii="Times New Roman" w:hAnsi="Times New Roman" w:eastAsia="宋体" w:cs="Times New Roman"/>
                <w:b/>
                <w:bCs/>
                <w:color w:val="auto"/>
                <w:sz w:val="24"/>
                <w:highlight w:val="none"/>
                <w:lang w:val="en-US" w:eastAsia="zh-CN"/>
              </w:rPr>
            </w:pPr>
          </w:p>
          <w:p w14:paraId="12BF6DCF">
            <w:pPr>
              <w:spacing w:line="360" w:lineRule="auto"/>
              <w:ind w:firstLine="354" w:firstLineChars="147"/>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③电磁环境现状监测结果</w:t>
            </w:r>
          </w:p>
          <w:p w14:paraId="18D13288">
            <w:pPr>
              <w:spacing w:line="360" w:lineRule="auto"/>
              <w:ind w:firstLine="352" w:firstLineChars="14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根据监测报告，电磁环境现状监测</w:t>
            </w:r>
            <w:r>
              <w:rPr>
                <w:rFonts w:hint="default" w:ascii="Times New Roman" w:hAnsi="Times New Roman" w:eastAsia="宋体" w:cs="Times New Roman"/>
                <w:color w:val="auto"/>
                <w:sz w:val="24"/>
                <w:highlight w:val="none"/>
              </w:rPr>
              <w:t>结果见下表。</w:t>
            </w:r>
          </w:p>
          <w:p w14:paraId="35A78588">
            <w:pPr>
              <w:pStyle w:val="25"/>
              <w:keepNext w:val="0"/>
              <w:keepLines w:val="0"/>
              <w:pageBreakBefore w:val="0"/>
              <w:widowControl w:val="0"/>
              <w:kinsoku/>
              <w:wordWrap/>
              <w:overflowPunct/>
              <w:topLinePunct w:val="0"/>
              <w:autoSpaceDE/>
              <w:autoSpaceDN/>
              <w:bidi w:val="0"/>
              <w:adjustRightInd w:val="0"/>
              <w:snapToGrid/>
              <w:spacing w:before="68" w:beforeLines="20" w:after="0" w:line="240" w:lineRule="auto"/>
              <w:ind w:left="0" w:left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表3-</w:t>
            </w:r>
            <w:r>
              <w:rPr>
                <w:rFonts w:hint="default" w:ascii="Times New Roman" w:hAnsi="Times New Roman" w:eastAsia="宋体" w:cs="Times New Roman"/>
                <w:b/>
                <w:color w:val="auto"/>
                <w:sz w:val="24"/>
                <w:szCs w:val="24"/>
                <w:highlight w:val="none"/>
                <w:lang w:val="en-US" w:eastAsia="zh-CN"/>
              </w:rPr>
              <w:t xml:space="preserve">4  </w:t>
            </w:r>
            <w:r>
              <w:rPr>
                <w:rFonts w:hint="default" w:ascii="Times New Roman" w:hAnsi="Times New Roman" w:eastAsia="宋体" w:cs="Times New Roman"/>
                <w:b/>
                <w:color w:val="auto"/>
                <w:sz w:val="24"/>
                <w:szCs w:val="24"/>
                <w:highlight w:val="none"/>
              </w:rPr>
              <w:t>工频电磁场监测结果</w:t>
            </w:r>
            <w:r>
              <w:rPr>
                <w:rFonts w:hint="default" w:ascii="Times New Roman" w:hAnsi="Times New Roman" w:eastAsia="宋体" w:cs="Times New Roman"/>
                <w:b/>
                <w:color w:val="auto"/>
                <w:sz w:val="24"/>
                <w:szCs w:val="24"/>
                <w:highlight w:val="none"/>
                <w:lang w:val="en-US" w:eastAsia="zh-CN"/>
              </w:rPr>
              <w:t>一览表</w:t>
            </w:r>
          </w:p>
          <w:tbl>
            <w:tblPr>
              <w:tblStyle w:val="5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3324"/>
              <w:gridCol w:w="1384"/>
              <w:gridCol w:w="1325"/>
              <w:gridCol w:w="1331"/>
            </w:tblGrid>
            <w:tr w14:paraId="71BE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73" w:type="pct"/>
                  <w:vMerge w:val="restart"/>
                  <w:vAlign w:val="center"/>
                </w:tcPr>
                <w:p w14:paraId="033BF747">
                  <w:pPr>
                    <w:widowControl/>
                    <w:adjustRightInd w:val="0"/>
                    <w:snapToGrid w:val="0"/>
                    <w:spacing w:line="30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88" w:type="pct"/>
                  <w:vMerge w:val="restart"/>
                  <w:vAlign w:val="center"/>
                </w:tcPr>
                <w:p w14:paraId="2D0277B8">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检测点位置</w:t>
                  </w:r>
                </w:p>
              </w:tc>
              <w:tc>
                <w:tcPr>
                  <w:tcW w:w="869" w:type="pct"/>
                  <w:vMerge w:val="restart"/>
                  <w:vAlign w:val="center"/>
                </w:tcPr>
                <w:p w14:paraId="2C3A28E6">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668" w:type="pct"/>
                  <w:gridSpan w:val="2"/>
                  <w:vAlign w:val="center"/>
                </w:tcPr>
                <w:p w14:paraId="7D6563F0">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eastAsia="zh-CN" w:bidi="ar"/>
                    </w:rPr>
                    <w:t>检</w:t>
                  </w:r>
                  <w:r>
                    <w:rPr>
                      <w:rFonts w:hint="default" w:ascii="Times New Roman" w:hAnsi="Times New Roman" w:eastAsia="宋体" w:cs="Times New Roman"/>
                      <w:b/>
                      <w:bCs/>
                      <w:color w:val="auto"/>
                      <w:kern w:val="0"/>
                      <w:sz w:val="21"/>
                      <w:szCs w:val="21"/>
                      <w:highlight w:val="none"/>
                      <w:lang w:bidi="ar"/>
                    </w:rPr>
                    <w:t>测结果</w:t>
                  </w:r>
                </w:p>
              </w:tc>
            </w:tr>
            <w:tr w14:paraId="38B4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373" w:type="pct"/>
                  <w:vMerge w:val="continue"/>
                  <w:vAlign w:val="center"/>
                </w:tcPr>
                <w:p w14:paraId="3EC45818">
                  <w:pPr>
                    <w:widowControl/>
                    <w:adjustRightInd w:val="0"/>
                    <w:snapToGrid w:val="0"/>
                    <w:spacing w:line="300" w:lineRule="auto"/>
                    <w:jc w:val="center"/>
                    <w:rPr>
                      <w:rFonts w:hint="default" w:ascii="Times New Roman" w:hAnsi="Times New Roman" w:eastAsia="宋体" w:cs="Times New Roman"/>
                      <w:color w:val="auto"/>
                      <w:sz w:val="21"/>
                      <w:szCs w:val="21"/>
                      <w:highlight w:val="none"/>
                    </w:rPr>
                  </w:pPr>
                </w:p>
              </w:tc>
              <w:tc>
                <w:tcPr>
                  <w:tcW w:w="2088" w:type="pct"/>
                  <w:vMerge w:val="continue"/>
                  <w:vAlign w:val="center"/>
                </w:tcPr>
                <w:p w14:paraId="3E9501BB">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p>
              </w:tc>
              <w:tc>
                <w:tcPr>
                  <w:tcW w:w="869" w:type="pct"/>
                  <w:vMerge w:val="continue"/>
                  <w:vAlign w:val="center"/>
                </w:tcPr>
                <w:p w14:paraId="00796452">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p>
              </w:tc>
              <w:tc>
                <w:tcPr>
                  <w:tcW w:w="832" w:type="pct"/>
                  <w:vAlign w:val="center"/>
                </w:tcPr>
                <w:p w14:paraId="5C941B2F">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工频电场强度（V/m）</w:t>
                  </w:r>
                </w:p>
              </w:tc>
              <w:tc>
                <w:tcPr>
                  <w:tcW w:w="836" w:type="pct"/>
                  <w:vAlign w:val="center"/>
                </w:tcPr>
                <w:p w14:paraId="3B5FA3B7">
                  <w:pPr>
                    <w:widowControl/>
                    <w:adjustRightInd w:val="0"/>
                    <w:snapToGrid w:val="0"/>
                    <w:spacing w:line="30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工频磁感应强度（μT）</w:t>
                  </w:r>
                </w:p>
              </w:tc>
            </w:tr>
            <w:tr w14:paraId="4FB2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5000" w:type="pct"/>
                  <w:gridSpan w:val="5"/>
                  <w:vAlign w:val="center"/>
                </w:tcPr>
                <w:p w14:paraId="3B3CCF38">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升压站站外5m处电/磁场场监测</w:t>
                  </w:r>
                </w:p>
              </w:tc>
            </w:tr>
            <w:tr w14:paraId="3C89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vAlign w:val="center"/>
                </w:tcPr>
                <w:p w14:paraId="2F8637E7">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w:t>
                  </w:r>
                </w:p>
              </w:tc>
              <w:tc>
                <w:tcPr>
                  <w:tcW w:w="2088" w:type="pct"/>
                  <w:vAlign w:val="center"/>
                </w:tcPr>
                <w:p w14:paraId="42C252CB">
                  <w:pPr>
                    <w:pStyle w:val="47"/>
                    <w:keepNext w:val="0"/>
                    <w:keepLines w:val="0"/>
                    <w:pageBreakBefore w:val="0"/>
                    <w:widowControl w:val="0"/>
                    <w:tabs>
                      <w:tab w:val="left" w:pos="900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220kV升压站东侧围墙外5m处</w:t>
                  </w:r>
                </w:p>
              </w:tc>
              <w:tc>
                <w:tcPr>
                  <w:tcW w:w="869" w:type="pct"/>
                  <w:vAlign w:val="center"/>
                </w:tcPr>
                <w:p w14:paraId="64CA1AB4">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2024.10.12</w:t>
                  </w:r>
                </w:p>
              </w:tc>
              <w:tc>
                <w:tcPr>
                  <w:tcW w:w="832" w:type="pct"/>
                  <w:vAlign w:val="center"/>
                </w:tcPr>
                <w:p w14:paraId="486F47A0">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3544.4</w:t>
                  </w:r>
                </w:p>
              </w:tc>
              <w:tc>
                <w:tcPr>
                  <w:tcW w:w="836" w:type="pct"/>
                  <w:vAlign w:val="center"/>
                </w:tcPr>
                <w:p w14:paraId="2AD3538A">
                  <w:pPr>
                    <w:pStyle w:val="47"/>
                    <w:pageBreakBefore w:val="0"/>
                    <w:widowControl w:val="0"/>
                    <w:tabs>
                      <w:tab w:val="left" w:pos="9000"/>
                    </w:tabs>
                    <w:kinsoku/>
                    <w:wordWrap/>
                    <w:overflowPunct/>
                    <w:topLinePunct w:val="0"/>
                    <w:autoSpaceDE w:val="0"/>
                    <w:autoSpaceDN w:val="0"/>
                    <w:bidi w:val="0"/>
                    <w:adjustRightInd w:val="0"/>
                    <w:snapToGrid/>
                    <w:spacing w:before="0" w:after="0"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bCs/>
                      <w:color w:val="auto"/>
                      <w:spacing w:val="0"/>
                      <w:w w:val="100"/>
                      <w:kern w:val="2"/>
                      <w:sz w:val="21"/>
                      <w:szCs w:val="21"/>
                      <w:highlight w:val="none"/>
                      <w:lang w:val="en-US" w:eastAsia="zh-CN" w:bidi="ar-SA"/>
                    </w:rPr>
                    <w:t>0.1758</w:t>
                  </w:r>
                </w:p>
              </w:tc>
            </w:tr>
            <w:tr w14:paraId="4E7C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77FD563C">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w:t>
                  </w:r>
                </w:p>
              </w:tc>
              <w:tc>
                <w:tcPr>
                  <w:tcW w:w="2088" w:type="pct"/>
                  <w:shd w:val="clear" w:color="auto" w:fill="auto"/>
                  <w:vAlign w:val="center"/>
                </w:tcPr>
                <w:p w14:paraId="3E47899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220kV升压站南侧围墙外5m处</w:t>
                  </w:r>
                </w:p>
              </w:tc>
              <w:tc>
                <w:tcPr>
                  <w:tcW w:w="869" w:type="pct"/>
                  <w:vAlign w:val="center"/>
                </w:tcPr>
                <w:p w14:paraId="31927916">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7C80DC3">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69.09</w:t>
                  </w:r>
                </w:p>
              </w:tc>
              <w:tc>
                <w:tcPr>
                  <w:tcW w:w="836" w:type="pct"/>
                  <w:vAlign w:val="center"/>
                </w:tcPr>
                <w:p w14:paraId="1C069352">
                  <w:pPr>
                    <w:pStyle w:val="47"/>
                    <w:pageBreakBefore w:val="0"/>
                    <w:widowControl w:val="0"/>
                    <w:tabs>
                      <w:tab w:val="left" w:pos="9000"/>
                    </w:tabs>
                    <w:kinsoku/>
                    <w:wordWrap/>
                    <w:overflowPunct/>
                    <w:topLinePunct w:val="0"/>
                    <w:autoSpaceDE w:val="0"/>
                    <w:autoSpaceDN w:val="0"/>
                    <w:bidi w:val="0"/>
                    <w:adjustRightInd w:val="0"/>
                    <w:snapToGrid/>
                    <w:spacing w:before="0" w:after="0"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0.0898</w:t>
                  </w:r>
                </w:p>
              </w:tc>
            </w:tr>
            <w:tr w14:paraId="2EB7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740DF8B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3</w:t>
                  </w:r>
                </w:p>
              </w:tc>
              <w:tc>
                <w:tcPr>
                  <w:tcW w:w="2088" w:type="pct"/>
                  <w:shd w:val="clear" w:color="auto" w:fill="auto"/>
                  <w:vAlign w:val="center"/>
                </w:tcPr>
                <w:p w14:paraId="48CB629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220kV升压站西侧围墙外5m处</w:t>
                  </w:r>
                </w:p>
              </w:tc>
              <w:tc>
                <w:tcPr>
                  <w:tcW w:w="869" w:type="pct"/>
                  <w:vAlign w:val="center"/>
                </w:tcPr>
                <w:p w14:paraId="11765E08">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195639E">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8.998</w:t>
                  </w:r>
                </w:p>
              </w:tc>
              <w:tc>
                <w:tcPr>
                  <w:tcW w:w="836" w:type="pct"/>
                  <w:vAlign w:val="center"/>
                </w:tcPr>
                <w:p w14:paraId="26C96F2B">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0.0887</w:t>
                  </w:r>
                </w:p>
              </w:tc>
            </w:tr>
            <w:tr w14:paraId="6B4F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619C3F6B">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4</w:t>
                  </w:r>
                </w:p>
              </w:tc>
              <w:tc>
                <w:tcPr>
                  <w:tcW w:w="2088" w:type="pct"/>
                  <w:shd w:val="clear" w:color="auto" w:fill="auto"/>
                  <w:vAlign w:val="center"/>
                </w:tcPr>
                <w:p w14:paraId="63B07C1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220kV升压站北侧围墙外5m处</w:t>
                  </w:r>
                </w:p>
              </w:tc>
              <w:tc>
                <w:tcPr>
                  <w:tcW w:w="869" w:type="pct"/>
                  <w:vAlign w:val="center"/>
                </w:tcPr>
                <w:p w14:paraId="493979E8">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1093C43E">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12.94</w:t>
                  </w:r>
                </w:p>
              </w:tc>
              <w:tc>
                <w:tcPr>
                  <w:tcW w:w="836" w:type="pct"/>
                  <w:vAlign w:val="center"/>
                </w:tcPr>
                <w:p w14:paraId="6AD39C9A">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0.0946</w:t>
                  </w:r>
                </w:p>
              </w:tc>
            </w:tr>
            <w:tr w14:paraId="7A9B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5000" w:type="pct"/>
                  <w:gridSpan w:val="5"/>
                  <w:shd w:val="clear" w:color="auto" w:fill="auto"/>
                  <w:vAlign w:val="center"/>
                </w:tcPr>
                <w:p w14:paraId="218E6F72">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升压站西南侧电/磁场断面监测</w:t>
                  </w:r>
                </w:p>
              </w:tc>
            </w:tr>
            <w:tr w14:paraId="4BE4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373" w:type="pct"/>
                  <w:shd w:val="clear" w:color="auto" w:fill="auto"/>
                  <w:vAlign w:val="center"/>
                </w:tcPr>
                <w:p w14:paraId="0195C58C">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5</w:t>
                  </w:r>
                </w:p>
              </w:tc>
              <w:tc>
                <w:tcPr>
                  <w:tcW w:w="2088" w:type="pct"/>
                  <w:shd w:val="clear" w:color="auto" w:fill="auto"/>
                  <w:vAlign w:val="center"/>
                </w:tcPr>
                <w:p w14:paraId="748C8BC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220kV升压站西南侧围墙外1m处</w:t>
                  </w:r>
                </w:p>
              </w:tc>
              <w:tc>
                <w:tcPr>
                  <w:tcW w:w="869" w:type="pct"/>
                  <w:vAlign w:val="center"/>
                </w:tcPr>
                <w:p w14:paraId="0B8986A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C8ACFA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13.20</w:t>
                  </w:r>
                </w:p>
              </w:tc>
              <w:tc>
                <w:tcPr>
                  <w:tcW w:w="836" w:type="pct"/>
                  <w:vAlign w:val="center"/>
                </w:tcPr>
                <w:p w14:paraId="6474807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0.0948</w:t>
                  </w:r>
                </w:p>
              </w:tc>
            </w:tr>
            <w:tr w14:paraId="6B0B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061735CD">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w:t>
                  </w:r>
                </w:p>
              </w:tc>
              <w:tc>
                <w:tcPr>
                  <w:tcW w:w="2088" w:type="pct"/>
                  <w:shd w:val="clear" w:color="auto" w:fill="auto"/>
                  <w:vAlign w:val="center"/>
                </w:tcPr>
                <w:p w14:paraId="07F3EC7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220kV升压站西南侧围墙外5m处</w:t>
                  </w:r>
                </w:p>
              </w:tc>
              <w:tc>
                <w:tcPr>
                  <w:tcW w:w="869" w:type="pct"/>
                  <w:vAlign w:val="center"/>
                </w:tcPr>
                <w:p w14:paraId="5B41417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1A75D75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15.17</w:t>
                  </w:r>
                </w:p>
              </w:tc>
              <w:tc>
                <w:tcPr>
                  <w:tcW w:w="836" w:type="pct"/>
                  <w:vAlign w:val="center"/>
                </w:tcPr>
                <w:p w14:paraId="50E3AB9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0.0945</w:t>
                  </w:r>
                </w:p>
              </w:tc>
            </w:tr>
            <w:tr w14:paraId="0D53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0FFAF034">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7</w:t>
                  </w:r>
                </w:p>
              </w:tc>
              <w:tc>
                <w:tcPr>
                  <w:tcW w:w="2088" w:type="pct"/>
                  <w:shd w:val="clear" w:color="auto" w:fill="auto"/>
                  <w:vAlign w:val="center"/>
                </w:tcPr>
                <w:p w14:paraId="4DEA59C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220kV升压站西南侧围墙外9m处</w:t>
                  </w:r>
                </w:p>
              </w:tc>
              <w:tc>
                <w:tcPr>
                  <w:tcW w:w="869" w:type="pct"/>
                  <w:vAlign w:val="center"/>
                </w:tcPr>
                <w:p w14:paraId="5EBE7C6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45905BA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15.19</w:t>
                  </w:r>
                </w:p>
              </w:tc>
              <w:tc>
                <w:tcPr>
                  <w:tcW w:w="836" w:type="pct"/>
                  <w:vAlign w:val="center"/>
                </w:tcPr>
                <w:p w14:paraId="140727D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0.0949</w:t>
                  </w:r>
                </w:p>
              </w:tc>
            </w:tr>
            <w:tr w14:paraId="3477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16B33A8">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8</w:t>
                  </w:r>
                </w:p>
              </w:tc>
              <w:tc>
                <w:tcPr>
                  <w:tcW w:w="2088" w:type="pct"/>
                  <w:shd w:val="clear" w:color="auto" w:fill="auto"/>
                  <w:vAlign w:val="center"/>
                </w:tcPr>
                <w:p w14:paraId="70DAC23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220kV升压站西南侧围墙外10m处</w:t>
                  </w:r>
                </w:p>
              </w:tc>
              <w:tc>
                <w:tcPr>
                  <w:tcW w:w="869" w:type="pct"/>
                  <w:vAlign w:val="center"/>
                </w:tcPr>
                <w:p w14:paraId="7D7913B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BCCCB4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15.21</w:t>
                  </w:r>
                </w:p>
              </w:tc>
              <w:tc>
                <w:tcPr>
                  <w:tcW w:w="836" w:type="pct"/>
                  <w:vAlign w:val="center"/>
                </w:tcPr>
                <w:p w14:paraId="501CC43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0.0954</w:t>
                  </w:r>
                </w:p>
              </w:tc>
            </w:tr>
            <w:tr w14:paraId="5D2B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190CB307">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9</w:t>
                  </w:r>
                </w:p>
              </w:tc>
              <w:tc>
                <w:tcPr>
                  <w:tcW w:w="2088" w:type="pct"/>
                  <w:shd w:val="clear" w:color="auto" w:fill="auto"/>
                  <w:vAlign w:val="center"/>
                </w:tcPr>
                <w:p w14:paraId="1F641DCE">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220kV升压站西南侧围墙外11m处</w:t>
                  </w:r>
                </w:p>
              </w:tc>
              <w:tc>
                <w:tcPr>
                  <w:tcW w:w="869" w:type="pct"/>
                  <w:vAlign w:val="center"/>
                </w:tcPr>
                <w:p w14:paraId="5B0AA68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1D2BEDB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15.14</w:t>
                  </w:r>
                </w:p>
              </w:tc>
              <w:tc>
                <w:tcPr>
                  <w:tcW w:w="836" w:type="pct"/>
                  <w:vAlign w:val="center"/>
                </w:tcPr>
                <w:p w14:paraId="11F3091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0.0948</w:t>
                  </w:r>
                </w:p>
              </w:tc>
            </w:tr>
            <w:tr w14:paraId="6A3F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6F28CB6E">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10</w:t>
                  </w:r>
                </w:p>
              </w:tc>
              <w:tc>
                <w:tcPr>
                  <w:tcW w:w="2088" w:type="pct"/>
                  <w:shd w:val="clear" w:color="auto" w:fill="auto"/>
                  <w:vAlign w:val="center"/>
                </w:tcPr>
                <w:p w14:paraId="088B7C5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220kV升压站西南侧围墙外15m处</w:t>
                  </w:r>
                </w:p>
              </w:tc>
              <w:tc>
                <w:tcPr>
                  <w:tcW w:w="869" w:type="pct"/>
                  <w:vAlign w:val="center"/>
                </w:tcPr>
                <w:p w14:paraId="0828A7E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4149D73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14.61</w:t>
                  </w:r>
                </w:p>
              </w:tc>
              <w:tc>
                <w:tcPr>
                  <w:tcW w:w="836" w:type="pct"/>
                  <w:vAlign w:val="center"/>
                </w:tcPr>
                <w:p w14:paraId="1ECE2B4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0.0946</w:t>
                  </w:r>
                </w:p>
              </w:tc>
            </w:tr>
            <w:tr w14:paraId="3411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4735B62">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w:t>
                  </w:r>
                </w:p>
              </w:tc>
              <w:tc>
                <w:tcPr>
                  <w:tcW w:w="2088" w:type="pct"/>
                  <w:shd w:val="clear" w:color="auto" w:fill="auto"/>
                  <w:vAlign w:val="center"/>
                </w:tcPr>
                <w:p w14:paraId="62C9DC6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220kV升压站西南侧围墙外20m处</w:t>
                  </w:r>
                </w:p>
              </w:tc>
              <w:tc>
                <w:tcPr>
                  <w:tcW w:w="869" w:type="pct"/>
                  <w:vAlign w:val="center"/>
                </w:tcPr>
                <w:p w14:paraId="5CB0803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33D609E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13.73</w:t>
                  </w:r>
                </w:p>
              </w:tc>
              <w:tc>
                <w:tcPr>
                  <w:tcW w:w="836" w:type="pct"/>
                  <w:vAlign w:val="center"/>
                </w:tcPr>
                <w:p w14:paraId="32E3F17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0.0950</w:t>
                  </w:r>
                </w:p>
              </w:tc>
            </w:tr>
            <w:tr w14:paraId="575A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22492AFB">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12</w:t>
                  </w:r>
                </w:p>
              </w:tc>
              <w:tc>
                <w:tcPr>
                  <w:tcW w:w="2088" w:type="pct"/>
                  <w:shd w:val="clear" w:color="auto" w:fill="auto"/>
                  <w:vAlign w:val="center"/>
                </w:tcPr>
                <w:p w14:paraId="284539F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220kV升压站西南侧围墙外25m处</w:t>
                  </w:r>
                </w:p>
              </w:tc>
              <w:tc>
                <w:tcPr>
                  <w:tcW w:w="869" w:type="pct"/>
                  <w:vAlign w:val="center"/>
                </w:tcPr>
                <w:p w14:paraId="0DABA43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5DB5899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11.60</w:t>
                  </w:r>
                </w:p>
              </w:tc>
              <w:tc>
                <w:tcPr>
                  <w:tcW w:w="836" w:type="pct"/>
                  <w:vAlign w:val="center"/>
                </w:tcPr>
                <w:p w14:paraId="6787C53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0.0944</w:t>
                  </w:r>
                </w:p>
              </w:tc>
            </w:tr>
            <w:tr w14:paraId="0FB8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71209D57">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w:t>
                  </w:r>
                </w:p>
              </w:tc>
              <w:tc>
                <w:tcPr>
                  <w:tcW w:w="2088" w:type="pct"/>
                  <w:shd w:val="clear" w:color="auto" w:fill="auto"/>
                  <w:vAlign w:val="center"/>
                </w:tcPr>
                <w:p w14:paraId="6286C19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220kV升压站西南侧围墙外30m处</w:t>
                  </w:r>
                </w:p>
              </w:tc>
              <w:tc>
                <w:tcPr>
                  <w:tcW w:w="869" w:type="pct"/>
                  <w:vAlign w:val="center"/>
                </w:tcPr>
                <w:p w14:paraId="3B77F2C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DFD860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11.03</w:t>
                  </w:r>
                </w:p>
              </w:tc>
              <w:tc>
                <w:tcPr>
                  <w:tcW w:w="836" w:type="pct"/>
                  <w:vAlign w:val="center"/>
                </w:tcPr>
                <w:p w14:paraId="7F1A039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0.0944</w:t>
                  </w:r>
                </w:p>
              </w:tc>
            </w:tr>
            <w:tr w14:paraId="761D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7F8D12AF">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14</w:t>
                  </w:r>
                </w:p>
              </w:tc>
              <w:tc>
                <w:tcPr>
                  <w:tcW w:w="2088" w:type="pct"/>
                  <w:shd w:val="clear" w:color="auto" w:fill="auto"/>
                  <w:vAlign w:val="center"/>
                </w:tcPr>
                <w:p w14:paraId="3C44BFE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220kV升压站西南侧围墙外35m处</w:t>
                  </w:r>
                </w:p>
              </w:tc>
              <w:tc>
                <w:tcPr>
                  <w:tcW w:w="869" w:type="pct"/>
                  <w:vAlign w:val="center"/>
                </w:tcPr>
                <w:p w14:paraId="06F6DCB0">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EE63D4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7.866</w:t>
                  </w:r>
                </w:p>
              </w:tc>
              <w:tc>
                <w:tcPr>
                  <w:tcW w:w="836" w:type="pct"/>
                  <w:vAlign w:val="center"/>
                </w:tcPr>
                <w:p w14:paraId="345DFCF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0.0950</w:t>
                  </w:r>
                </w:p>
              </w:tc>
            </w:tr>
            <w:tr w14:paraId="2CD9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7DDB68E8">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w:t>
                  </w:r>
                </w:p>
              </w:tc>
              <w:tc>
                <w:tcPr>
                  <w:tcW w:w="2088" w:type="pct"/>
                  <w:shd w:val="clear" w:color="auto" w:fill="auto"/>
                  <w:vAlign w:val="center"/>
                </w:tcPr>
                <w:p w14:paraId="0A8D71A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220kV升压站西南侧围墙外40m处</w:t>
                  </w:r>
                </w:p>
              </w:tc>
              <w:tc>
                <w:tcPr>
                  <w:tcW w:w="869" w:type="pct"/>
                  <w:vAlign w:val="center"/>
                </w:tcPr>
                <w:p w14:paraId="6376EB7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4D43B7F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6.860</w:t>
                  </w:r>
                </w:p>
              </w:tc>
              <w:tc>
                <w:tcPr>
                  <w:tcW w:w="836" w:type="pct"/>
                  <w:vAlign w:val="center"/>
                </w:tcPr>
                <w:p w14:paraId="1CF2B89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0.0953</w:t>
                  </w:r>
                </w:p>
              </w:tc>
            </w:tr>
            <w:tr w14:paraId="32F1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3B70A1DD">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16</w:t>
                  </w:r>
                </w:p>
              </w:tc>
              <w:tc>
                <w:tcPr>
                  <w:tcW w:w="2088" w:type="pct"/>
                  <w:shd w:val="clear" w:color="auto" w:fill="auto"/>
                  <w:vAlign w:val="center"/>
                </w:tcPr>
                <w:p w14:paraId="59B76D9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220kV升压站西南侧围墙外45m处</w:t>
                  </w:r>
                </w:p>
              </w:tc>
              <w:tc>
                <w:tcPr>
                  <w:tcW w:w="869" w:type="pct"/>
                  <w:vAlign w:val="center"/>
                </w:tcPr>
                <w:p w14:paraId="31AADE6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00B259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6.056</w:t>
                  </w:r>
                </w:p>
              </w:tc>
              <w:tc>
                <w:tcPr>
                  <w:tcW w:w="836" w:type="pct"/>
                  <w:vAlign w:val="center"/>
                </w:tcPr>
                <w:p w14:paraId="5AE5EBF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0.0942</w:t>
                  </w:r>
                </w:p>
              </w:tc>
            </w:tr>
            <w:tr w14:paraId="685A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373" w:type="pct"/>
                  <w:shd w:val="clear" w:color="auto" w:fill="auto"/>
                  <w:vAlign w:val="center"/>
                </w:tcPr>
                <w:p w14:paraId="7F110581">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17</w:t>
                  </w:r>
                </w:p>
              </w:tc>
              <w:tc>
                <w:tcPr>
                  <w:tcW w:w="2088" w:type="pct"/>
                  <w:shd w:val="clear" w:color="auto" w:fill="auto"/>
                  <w:vAlign w:val="center"/>
                </w:tcPr>
                <w:p w14:paraId="164844C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220kV升压站西南侧围墙外50m处</w:t>
                  </w:r>
                </w:p>
              </w:tc>
              <w:tc>
                <w:tcPr>
                  <w:tcW w:w="869" w:type="pct"/>
                  <w:shd w:val="clear" w:color="auto" w:fill="auto"/>
                  <w:vAlign w:val="center"/>
                </w:tcPr>
                <w:p w14:paraId="06EFCC2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shd w:val="clear" w:color="auto" w:fill="auto"/>
                  <w:vAlign w:val="center"/>
                </w:tcPr>
                <w:p w14:paraId="5887D0A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3.990</w:t>
                  </w:r>
                </w:p>
              </w:tc>
              <w:tc>
                <w:tcPr>
                  <w:tcW w:w="836" w:type="pct"/>
                  <w:shd w:val="clear" w:color="auto" w:fill="auto"/>
                  <w:vAlign w:val="center"/>
                </w:tcPr>
                <w:p w14:paraId="28D6C8E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0.0913</w:t>
                  </w:r>
                </w:p>
              </w:tc>
            </w:tr>
            <w:tr w14:paraId="1976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3331" w:type="pct"/>
                  <w:gridSpan w:val="3"/>
                  <w:shd w:val="clear" w:color="auto" w:fill="auto"/>
                  <w:vAlign w:val="center"/>
                </w:tcPr>
                <w:p w14:paraId="3A1446BD">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评价标准</w:t>
                  </w:r>
                </w:p>
              </w:tc>
              <w:tc>
                <w:tcPr>
                  <w:tcW w:w="832" w:type="pct"/>
                  <w:shd w:val="clear" w:color="auto" w:fill="auto"/>
                  <w:vAlign w:val="center"/>
                </w:tcPr>
                <w:p w14:paraId="4990BED7">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4000</w:t>
                  </w:r>
                </w:p>
              </w:tc>
              <w:tc>
                <w:tcPr>
                  <w:tcW w:w="836" w:type="pct"/>
                  <w:shd w:val="clear" w:color="auto" w:fill="auto"/>
                  <w:vAlign w:val="center"/>
                </w:tcPr>
                <w:p w14:paraId="4341C3DA">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100</w:t>
                  </w:r>
                </w:p>
              </w:tc>
            </w:tr>
            <w:tr w14:paraId="69F4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3331" w:type="pct"/>
                  <w:gridSpan w:val="3"/>
                  <w:shd w:val="clear" w:color="auto" w:fill="auto"/>
                  <w:vAlign w:val="center"/>
                </w:tcPr>
                <w:p w14:paraId="7DE7A379">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达标情况</w:t>
                  </w:r>
                </w:p>
              </w:tc>
              <w:tc>
                <w:tcPr>
                  <w:tcW w:w="832" w:type="pct"/>
                  <w:shd w:val="clear" w:color="auto" w:fill="auto"/>
                  <w:vAlign w:val="center"/>
                </w:tcPr>
                <w:p w14:paraId="4C0D5EE3">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w:t>
                  </w:r>
                </w:p>
              </w:tc>
              <w:tc>
                <w:tcPr>
                  <w:tcW w:w="836" w:type="pct"/>
                  <w:shd w:val="clear" w:color="auto" w:fill="auto"/>
                  <w:vAlign w:val="center"/>
                </w:tcPr>
                <w:p w14:paraId="288BC9E0">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w:t>
                  </w:r>
                </w:p>
              </w:tc>
            </w:tr>
          </w:tbl>
          <w:p w14:paraId="7A45F759">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上表监测结果可知，项目区工频电场强度在3.990~3544.4V/m之间，工频磁感应强度在</w:t>
            </w:r>
            <w:r>
              <w:rPr>
                <w:rFonts w:hint="default" w:ascii="Times New Roman" w:hAnsi="Times New Roman" w:eastAsia="宋体" w:cs="Times New Roman"/>
                <w:color w:val="auto"/>
                <w:sz w:val="24"/>
                <w:highlight w:val="none"/>
              </w:rPr>
              <w:t>0.</w:t>
            </w:r>
            <w:r>
              <w:rPr>
                <w:rFonts w:hint="default" w:ascii="Times New Roman" w:hAnsi="Times New Roman" w:eastAsia="宋体" w:cs="Times New Roman"/>
                <w:color w:val="auto"/>
                <w:sz w:val="24"/>
                <w:highlight w:val="none"/>
                <w:lang w:val="en-US" w:eastAsia="zh-CN"/>
              </w:rPr>
              <w:t>0887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0.1758µT之间，均满足《电磁环境控</w:t>
            </w:r>
            <w:r>
              <w:rPr>
                <w:rFonts w:hint="default" w:ascii="Times New Roman" w:hAnsi="Times New Roman" w:eastAsia="宋体" w:cs="Times New Roman"/>
                <w:color w:val="auto"/>
                <w:sz w:val="24"/>
                <w:highlight w:val="none"/>
              </w:rPr>
              <w:t>制限值》（GB8702-2014）中的有关规定要求，即电场强度</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4kV/m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磁感应强度</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100µT</w:t>
            </w:r>
            <w:r>
              <w:rPr>
                <w:rFonts w:hint="default" w:ascii="Times New Roman" w:hAnsi="Times New Roman" w:eastAsia="宋体" w:cs="Times New Roman"/>
                <w:bCs/>
                <w:color w:val="auto"/>
                <w:sz w:val="24"/>
                <w:highlight w:val="none"/>
              </w:rPr>
              <w:t>。</w:t>
            </w:r>
          </w:p>
          <w:p w14:paraId="58C40D4E">
            <w:pPr>
              <w:adjustRightInd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声环境质量现状</w:t>
            </w:r>
          </w:p>
          <w:p w14:paraId="69A4B83A">
            <w:pPr>
              <w:adjustRightIn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0"/>
                <w:sz w:val="24"/>
                <w:szCs w:val="24"/>
                <w:highlight w:val="none"/>
              </w:rPr>
              <w:t>位于</w:t>
            </w:r>
            <w:r>
              <w:rPr>
                <w:rFonts w:hint="default" w:ascii="Times New Roman" w:hAnsi="Times New Roman" w:eastAsia="宋体" w:cs="Times New Roman"/>
                <w:color w:val="auto"/>
                <w:sz w:val="24"/>
                <w:szCs w:val="24"/>
                <w:highlight w:val="none"/>
                <w:u w:val="none"/>
                <w:lang w:eastAsia="zh-CN"/>
              </w:rPr>
              <w:t>昆明市禄劝县团街镇境内</w:t>
            </w:r>
            <w:r>
              <w:rPr>
                <w:rFonts w:hint="default" w:ascii="Times New Roman" w:hAnsi="Times New Roman" w:eastAsia="宋体"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，升压站所在地</w:t>
            </w:r>
            <w:r>
              <w:rPr>
                <w:rFonts w:hint="default" w:ascii="Times New Roman" w:hAnsi="Times New Roman" w:eastAsia="宋体" w:cs="Times New Roman"/>
                <w:color w:val="auto"/>
                <w:sz w:val="24"/>
                <w:szCs w:val="24"/>
                <w:highlight w:val="none"/>
                <w:lang w:eastAsia="zh-CN"/>
              </w:rPr>
              <w:t>声环境质量执行《声环境质量标准》（GB3096-2008）2类标准。</w:t>
            </w:r>
          </w:p>
          <w:p w14:paraId="24FCDB8D">
            <w:pPr>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（1）主体环评期间声环境监测</w:t>
            </w:r>
          </w:p>
          <w:p w14:paraId="1DE28324">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环评阶段于</w:t>
            </w:r>
            <w:r>
              <w:rPr>
                <w:rFonts w:hint="default" w:ascii="Times New Roman" w:hAnsi="Times New Roman" w:eastAsia="宋体" w:cs="Times New Roman"/>
                <w:color w:val="auto"/>
                <w:sz w:val="24"/>
                <w:szCs w:val="24"/>
                <w:highlight w:val="none"/>
              </w:rPr>
              <w:t>2023年6月</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日～6月21日对</w:t>
            </w:r>
            <w:r>
              <w:rPr>
                <w:rFonts w:hint="default" w:ascii="Times New Roman" w:hAnsi="Times New Roman" w:eastAsia="宋体"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rPr>
              <w:t>评价区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的敏感点</w:t>
            </w:r>
            <w:r>
              <w:rPr>
                <w:rFonts w:hint="default" w:ascii="Times New Roman" w:hAnsi="Times New Roman" w:eastAsia="宋体" w:cs="Times New Roman"/>
                <w:color w:val="auto"/>
                <w:sz w:val="24"/>
                <w:szCs w:val="24"/>
                <w:highlight w:val="none"/>
                <w:lang w:val="en-US" w:eastAsia="zh-CN"/>
              </w:rPr>
              <w:t>及升压站站址</w:t>
            </w:r>
            <w:r>
              <w:rPr>
                <w:rFonts w:hint="default" w:ascii="Times New Roman" w:hAnsi="Times New Roman" w:eastAsia="宋体" w:cs="Times New Roman"/>
                <w:color w:val="auto"/>
                <w:sz w:val="24"/>
                <w:szCs w:val="24"/>
                <w:highlight w:val="none"/>
              </w:rPr>
              <w:t>开展了声环境</w:t>
            </w:r>
            <w:r>
              <w:rPr>
                <w:rFonts w:hint="default" w:ascii="Times New Roman" w:hAnsi="Times New Roman" w:eastAsia="宋体" w:cs="Times New Roman"/>
                <w:color w:val="auto"/>
                <w:sz w:val="24"/>
                <w:szCs w:val="24"/>
                <w:highlight w:val="none"/>
                <w:lang w:val="en-US" w:eastAsia="zh-CN"/>
              </w:rPr>
              <w:t>质量</w:t>
            </w:r>
            <w:r>
              <w:rPr>
                <w:rFonts w:hint="default" w:ascii="Times New Roman" w:hAnsi="Times New Roman" w:eastAsia="宋体" w:cs="Times New Roman"/>
                <w:color w:val="auto"/>
                <w:sz w:val="24"/>
                <w:szCs w:val="24"/>
                <w:highlight w:val="none"/>
              </w:rPr>
              <w:t>现状监测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监测结果为昼间37.6~40.8dB（A）、夜间36.5~37.9dB（A），均满足</w:t>
            </w:r>
            <w:r>
              <w:rPr>
                <w:rFonts w:hint="default" w:ascii="Times New Roman" w:hAnsi="Times New Roman" w:eastAsia="宋体" w:cs="Times New Roman"/>
                <w:color w:val="auto"/>
                <w:sz w:val="24"/>
                <w:szCs w:val="24"/>
                <w:highlight w:val="none"/>
                <w:lang w:eastAsia="zh-CN"/>
              </w:rPr>
              <w:t>《声环境质量标准》（GB3096-2008）2类标准，</w:t>
            </w:r>
            <w:r>
              <w:rPr>
                <w:rFonts w:hint="default" w:ascii="Times New Roman" w:hAnsi="Times New Roman" w:eastAsia="宋体" w:cs="Times New Roman"/>
                <w:color w:val="auto"/>
                <w:sz w:val="24"/>
                <w:szCs w:val="24"/>
                <w:highlight w:val="none"/>
                <w:lang w:val="en-US" w:eastAsia="zh-CN"/>
              </w:rPr>
              <w:t>即昼间≤60dB（A）、夜间≤50dB（A）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详细</w:t>
            </w:r>
            <w:r>
              <w:rPr>
                <w:rFonts w:hint="default" w:ascii="Times New Roman" w:hAnsi="Times New Roman" w:eastAsia="宋体" w:cs="Times New Roman"/>
                <w:color w:val="auto"/>
                <w:sz w:val="24"/>
                <w:szCs w:val="24"/>
                <w:highlight w:val="none"/>
              </w:rPr>
              <w:t>监测结果见下表。</w:t>
            </w:r>
          </w:p>
          <w:p w14:paraId="01F9349A">
            <w:pPr>
              <w:pStyle w:val="286"/>
              <w:keepNext w:val="0"/>
              <w:keepLines w:val="0"/>
              <w:pageBreakBefore w:val="0"/>
              <w:widowControl w:val="0"/>
              <w:kinsoku/>
              <w:wordWrap/>
              <w:overflowPunct/>
              <w:topLinePunct w:val="0"/>
              <w:autoSpaceDE/>
              <w:autoSpaceDN/>
              <w:bidi w:val="0"/>
              <w:adjustRightInd/>
              <w:snapToGrid/>
              <w:spacing w:before="68" w:beforeLines="20"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表3-</w:t>
            </w:r>
            <w:r>
              <w:rPr>
                <w:rFonts w:hint="default" w:ascii="Times New Roman" w:hAnsi="Times New Roman" w:eastAsia="宋体" w:cs="Times New Roman"/>
                <w:b/>
                <w:bCs/>
                <w:color w:val="auto"/>
                <w:sz w:val="24"/>
                <w:szCs w:val="24"/>
                <w:highlight w:val="none"/>
                <w:lang w:val="en-US" w:eastAsia="zh-CN"/>
              </w:rPr>
              <w:t>5  主体环评阶段升压站</w:t>
            </w:r>
            <w:r>
              <w:rPr>
                <w:rFonts w:hint="default" w:ascii="Times New Roman" w:hAnsi="Times New Roman" w:eastAsia="宋体" w:cs="Times New Roman"/>
                <w:b/>
                <w:bCs/>
                <w:color w:val="auto"/>
                <w:sz w:val="24"/>
                <w:szCs w:val="24"/>
                <w:highlight w:val="none"/>
                <w:lang w:val="zh-CN"/>
              </w:rPr>
              <w:t>声环境现状监测结果</w:t>
            </w:r>
            <w:r>
              <w:rPr>
                <w:rFonts w:hint="default" w:ascii="Times New Roman" w:hAnsi="Times New Roman" w:eastAsia="宋体" w:cs="Times New Roman"/>
                <w:b/>
                <w:bCs/>
                <w:color w:val="auto"/>
                <w:sz w:val="24"/>
                <w:szCs w:val="24"/>
                <w:highlight w:val="none"/>
                <w:lang w:val="en-US" w:eastAsia="zh-CN"/>
              </w:rPr>
              <w:t xml:space="preserve">  单位：dB（A）</w:t>
            </w:r>
          </w:p>
          <w:tbl>
            <w:tblPr>
              <w:tblStyle w:val="49"/>
              <w:tblW w:w="7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1447"/>
              <w:gridCol w:w="1448"/>
              <w:gridCol w:w="1447"/>
              <w:gridCol w:w="1449"/>
            </w:tblGrid>
            <w:tr w14:paraId="3251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43" w:type="pct"/>
                  <w:vMerge w:val="restart"/>
                  <w:tcBorders>
                    <w:tl2br w:val="single" w:color="auto" w:sz="4" w:space="0"/>
                  </w:tcBorders>
                  <w:noWrap w:val="0"/>
                  <w:vAlign w:val="center"/>
                </w:tcPr>
                <w:p w14:paraId="07358A1D">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       监测时间</w:t>
                  </w:r>
                </w:p>
                <w:p w14:paraId="1DEEF992">
                  <w:pPr>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3656" w:type="pct"/>
                  <w:gridSpan w:val="4"/>
                  <w:noWrap w:val="0"/>
                  <w:vAlign w:val="center"/>
                </w:tcPr>
                <w:p w14:paraId="6D388AE1">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监测结果（dB(A)）</w:t>
                  </w:r>
                </w:p>
              </w:tc>
            </w:tr>
            <w:tr w14:paraId="1B83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43" w:type="pct"/>
                  <w:vMerge w:val="continue"/>
                  <w:tcBorders>
                    <w:tl2br w:val="single" w:color="auto" w:sz="4" w:space="0"/>
                  </w:tcBorders>
                  <w:noWrap w:val="0"/>
                  <w:vAlign w:val="center"/>
                </w:tcPr>
                <w:p w14:paraId="4DBF0EE8">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27" w:type="pct"/>
                  <w:gridSpan w:val="2"/>
                  <w:noWrap w:val="0"/>
                  <w:vAlign w:val="center"/>
                </w:tcPr>
                <w:p w14:paraId="3417C95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w:t>
                  </w:r>
                  <w:r>
                    <w:rPr>
                      <w:rFonts w:hint="default" w:ascii="Times New Roman" w:hAnsi="Times New Roman" w:eastAsia="宋体" w:cs="Times New Roman"/>
                      <w:color w:val="auto"/>
                      <w:sz w:val="21"/>
                      <w:szCs w:val="21"/>
                      <w:highlight w:val="none"/>
                    </w:rPr>
                    <w:t>6.19~</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6.20</w:t>
                  </w:r>
                </w:p>
              </w:tc>
              <w:tc>
                <w:tcPr>
                  <w:tcW w:w="1828" w:type="pct"/>
                  <w:gridSpan w:val="2"/>
                  <w:noWrap w:val="0"/>
                  <w:vAlign w:val="center"/>
                </w:tcPr>
                <w:p w14:paraId="30C5F16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w:t>
                  </w:r>
                  <w:r>
                    <w:rPr>
                      <w:rFonts w:hint="default" w:ascii="Times New Roman" w:hAnsi="Times New Roman" w:eastAsia="宋体" w:cs="Times New Roman"/>
                      <w:color w:val="auto"/>
                      <w:sz w:val="21"/>
                      <w:szCs w:val="21"/>
                      <w:highlight w:val="none"/>
                    </w:rPr>
                    <w:t>6.20~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6.21</w:t>
                  </w:r>
                </w:p>
              </w:tc>
            </w:tr>
            <w:tr w14:paraId="5931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43" w:type="pct"/>
                  <w:vMerge w:val="continue"/>
                  <w:tcBorders>
                    <w:tl2br w:val="single" w:color="auto" w:sz="4" w:space="0"/>
                  </w:tcBorders>
                  <w:noWrap w:val="0"/>
                  <w:vAlign w:val="center"/>
                </w:tcPr>
                <w:p w14:paraId="3D3ECBC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913" w:type="pct"/>
                  <w:noWrap w:val="0"/>
                  <w:vAlign w:val="center"/>
                </w:tcPr>
                <w:p w14:paraId="2F3A1BD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914" w:type="pct"/>
                  <w:noWrap w:val="0"/>
                  <w:vAlign w:val="center"/>
                </w:tcPr>
                <w:p w14:paraId="6ACEF1A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913" w:type="pct"/>
                  <w:noWrap w:val="0"/>
                  <w:vAlign w:val="center"/>
                </w:tcPr>
                <w:p w14:paraId="153D82F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914" w:type="pct"/>
                  <w:noWrap w:val="0"/>
                  <w:vAlign w:val="center"/>
                </w:tcPr>
                <w:p w14:paraId="776990A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248B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43" w:type="pct"/>
                  <w:noWrap w:val="0"/>
                  <w:vAlign w:val="center"/>
                </w:tcPr>
                <w:p w14:paraId="64D663C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N7 升压站</w:t>
                  </w:r>
                </w:p>
              </w:tc>
              <w:tc>
                <w:tcPr>
                  <w:tcW w:w="913" w:type="pct"/>
                  <w:noWrap w:val="0"/>
                  <w:vAlign w:val="center"/>
                </w:tcPr>
                <w:p w14:paraId="3FFC9A4C">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37.6</w:t>
                  </w:r>
                </w:p>
              </w:tc>
              <w:tc>
                <w:tcPr>
                  <w:tcW w:w="914" w:type="pct"/>
                  <w:noWrap w:val="0"/>
                  <w:vAlign w:val="center"/>
                </w:tcPr>
                <w:p w14:paraId="49F8ED1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913" w:type="pct"/>
                  <w:noWrap w:val="0"/>
                  <w:vAlign w:val="center"/>
                </w:tcPr>
                <w:p w14:paraId="3A32943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914" w:type="pct"/>
                  <w:noWrap w:val="0"/>
                  <w:vAlign w:val="center"/>
                </w:tcPr>
                <w:p w14:paraId="7D73A75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37.9</w:t>
                  </w:r>
                </w:p>
              </w:tc>
            </w:tr>
          </w:tbl>
          <w:p w14:paraId="4EA9B707">
            <w:pPr>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（2）本次环评期间声环境现状监测</w:t>
            </w:r>
          </w:p>
          <w:p w14:paraId="473D29F4">
            <w:pPr>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本次环境影响评价阶段，建设单位于2024年10月12日委托云南科环环境工程咨询有限公司对升压站东、南、西、北厂界四周均进行了声环境现状监测。</w:t>
            </w:r>
          </w:p>
          <w:p w14:paraId="361912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①</w:t>
            </w:r>
            <w:r>
              <w:rPr>
                <w:rFonts w:hint="default" w:ascii="Times New Roman" w:hAnsi="Times New Roman" w:eastAsia="宋体" w:cs="Times New Roman"/>
                <w:b/>
                <w:bCs/>
                <w:color w:val="auto"/>
                <w:sz w:val="24"/>
                <w:highlight w:val="none"/>
              </w:rPr>
              <w:t>监测工况及</w:t>
            </w:r>
            <w:r>
              <w:rPr>
                <w:rFonts w:hint="default" w:ascii="Times New Roman" w:hAnsi="Times New Roman" w:eastAsia="宋体" w:cs="Times New Roman"/>
                <w:b/>
                <w:bCs/>
                <w:color w:val="auto"/>
                <w:sz w:val="24"/>
                <w:highlight w:val="none"/>
                <w:lang w:val="en-US" w:eastAsia="zh-CN"/>
              </w:rPr>
              <w:t>气象条件</w:t>
            </w:r>
          </w:p>
          <w:p w14:paraId="5BBB4A2A">
            <w:pPr>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本次噪声现状监测时间与电磁环境现状监测一致，期间检测工况及气象条件详见表3-1、表3-2所示。</w:t>
            </w:r>
          </w:p>
          <w:p w14:paraId="0B97E3DD">
            <w:pPr>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②监测仪器</w:t>
            </w:r>
          </w:p>
          <w:p w14:paraId="586DB079">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本次环境影响评价阶段，建设单位于2024年10月12日委托云南科环环境工程咨询有限公司对升压站进行了声环境监测</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云南科环环境工程咨询有限公司</w:t>
            </w:r>
            <w:r>
              <w:rPr>
                <w:rFonts w:hint="default" w:ascii="Times New Roman" w:hAnsi="Times New Roman" w:eastAsia="宋体" w:cs="Times New Roman"/>
                <w:color w:val="auto"/>
                <w:sz w:val="24"/>
                <w:szCs w:val="28"/>
                <w:highlight w:val="none"/>
              </w:rPr>
              <w:t>已具备监测资质，详见附件1</w:t>
            </w:r>
            <w:r>
              <w:rPr>
                <w:rFonts w:hint="default" w:ascii="Times New Roman" w:hAnsi="Times New Roman" w:eastAsia="宋体"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rPr>
              <w:t>中现状监测报告。</w:t>
            </w:r>
          </w:p>
          <w:p w14:paraId="7F3085AA">
            <w:pPr>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3-5</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声环境</w:t>
            </w:r>
            <w:r>
              <w:rPr>
                <w:rFonts w:hint="default" w:ascii="Times New Roman" w:hAnsi="Times New Roman" w:eastAsia="宋体" w:cs="Times New Roman"/>
                <w:b/>
                <w:bCs/>
                <w:color w:val="auto"/>
                <w:sz w:val="24"/>
                <w:highlight w:val="none"/>
              </w:rPr>
              <w:t>监测仪器</w:t>
            </w:r>
            <w:r>
              <w:rPr>
                <w:rFonts w:hint="default" w:ascii="Times New Roman" w:hAnsi="Times New Roman" w:eastAsia="宋体" w:cs="Times New Roman"/>
                <w:b/>
                <w:bCs/>
                <w:color w:val="auto"/>
                <w:sz w:val="24"/>
                <w:highlight w:val="none"/>
                <w:lang w:val="en-US" w:eastAsia="zh-CN"/>
              </w:rPr>
              <w:t>一览表</w:t>
            </w:r>
          </w:p>
          <w:tbl>
            <w:tblPr>
              <w:tblStyle w:val="49"/>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856"/>
              <w:gridCol w:w="1146"/>
              <w:gridCol w:w="1346"/>
              <w:gridCol w:w="1725"/>
              <w:gridCol w:w="1324"/>
            </w:tblGrid>
            <w:tr w14:paraId="0B97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29" w:type="pct"/>
                  <w:noWrap w:val="0"/>
                  <w:vAlign w:val="center"/>
                </w:tcPr>
                <w:p w14:paraId="4A69EF7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仪器名称</w:t>
                  </w:r>
                </w:p>
              </w:tc>
              <w:tc>
                <w:tcPr>
                  <w:tcW w:w="544" w:type="pct"/>
                  <w:noWrap w:val="0"/>
                  <w:vAlign w:val="center"/>
                </w:tcPr>
                <w:p w14:paraId="1737C6C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729" w:type="pct"/>
                  <w:noWrap w:val="0"/>
                  <w:vAlign w:val="center"/>
                </w:tcPr>
                <w:p w14:paraId="03DBF4C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检测方法</w:t>
                  </w:r>
                </w:p>
              </w:tc>
              <w:tc>
                <w:tcPr>
                  <w:tcW w:w="856" w:type="pct"/>
                  <w:noWrap w:val="0"/>
                  <w:vAlign w:val="center"/>
                </w:tcPr>
                <w:p w14:paraId="3153F00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检/校有效期</w:t>
                  </w:r>
                </w:p>
              </w:tc>
              <w:tc>
                <w:tcPr>
                  <w:tcW w:w="1097" w:type="pct"/>
                  <w:noWrap w:val="0"/>
                  <w:vAlign w:val="center"/>
                </w:tcPr>
                <w:p w14:paraId="1C2A31A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证书编号</w:t>
                  </w:r>
                </w:p>
              </w:tc>
              <w:tc>
                <w:tcPr>
                  <w:tcW w:w="842" w:type="pct"/>
                  <w:noWrap w:val="0"/>
                  <w:vAlign w:val="center"/>
                </w:tcPr>
                <w:p w14:paraId="2D8AEAD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检/校单位</w:t>
                  </w:r>
                </w:p>
              </w:tc>
            </w:tr>
            <w:tr w14:paraId="1D63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929" w:type="pct"/>
                  <w:noWrap w:val="0"/>
                  <w:vAlign w:val="center"/>
                </w:tcPr>
                <w:p w14:paraId="050A1FB2">
                  <w:pPr>
                    <w:pStyle w:val="3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AWA5688</w:t>
                  </w:r>
                </w:p>
                <w:p w14:paraId="4AF41A3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2级多功能声级计</w:t>
                  </w:r>
                </w:p>
              </w:tc>
              <w:tc>
                <w:tcPr>
                  <w:tcW w:w="544" w:type="pct"/>
                  <w:noWrap w:val="0"/>
                  <w:vAlign w:val="center"/>
                </w:tcPr>
                <w:p w14:paraId="4464FEB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AWA5688</w:t>
                  </w:r>
                </w:p>
              </w:tc>
              <w:tc>
                <w:tcPr>
                  <w:tcW w:w="729" w:type="pct"/>
                  <w:noWrap w:val="0"/>
                  <w:vAlign w:val="center"/>
                </w:tcPr>
                <w:p w14:paraId="7BFCB2B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KH-018</w:t>
                  </w:r>
                </w:p>
              </w:tc>
              <w:tc>
                <w:tcPr>
                  <w:tcW w:w="856" w:type="pct"/>
                  <w:noWrap w:val="0"/>
                  <w:vAlign w:val="center"/>
                </w:tcPr>
                <w:p w14:paraId="0C5BBF3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2025年08月28日</w:t>
                  </w:r>
                </w:p>
              </w:tc>
              <w:tc>
                <w:tcPr>
                  <w:tcW w:w="1097" w:type="pct"/>
                  <w:noWrap w:val="0"/>
                  <w:vAlign w:val="center"/>
                </w:tcPr>
                <w:p w14:paraId="74E783B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8020158210-002</w:t>
                  </w:r>
                </w:p>
              </w:tc>
              <w:tc>
                <w:tcPr>
                  <w:tcW w:w="842" w:type="pct"/>
                  <w:noWrap w:val="0"/>
                  <w:vAlign w:val="center"/>
                </w:tcPr>
                <w:p w14:paraId="2FE57BD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中检西南计量有限公司</w:t>
                  </w:r>
                </w:p>
              </w:tc>
            </w:tr>
          </w:tbl>
          <w:p w14:paraId="2E607F3E">
            <w:pPr>
              <w:spacing w:line="360" w:lineRule="auto"/>
              <w:ind w:firstLine="354" w:firstLineChars="147"/>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③声环境现状监测结果</w:t>
            </w:r>
          </w:p>
          <w:p w14:paraId="0DFBB61C">
            <w:pPr>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根据监测报告，声环境监测结果详见下表：</w:t>
            </w:r>
          </w:p>
          <w:p w14:paraId="56C245A6">
            <w:pPr>
              <w:pStyle w:val="286"/>
              <w:keepNext w:val="0"/>
              <w:keepLines w:val="0"/>
              <w:pageBreakBefore w:val="0"/>
              <w:widowControl w:val="0"/>
              <w:kinsoku/>
              <w:wordWrap/>
              <w:overflowPunct/>
              <w:topLinePunct w:val="0"/>
              <w:autoSpaceDE/>
              <w:autoSpaceDN/>
              <w:bidi w:val="0"/>
              <w:adjustRightInd/>
              <w:snapToGrid/>
              <w:spacing w:before="68" w:beforeLines="20"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表3-</w:t>
            </w:r>
            <w:r>
              <w:rPr>
                <w:rFonts w:hint="default" w:ascii="Times New Roman" w:hAnsi="Times New Roman" w:eastAsia="宋体" w:cs="Times New Roman"/>
                <w:b/>
                <w:bCs/>
                <w:color w:val="auto"/>
                <w:sz w:val="24"/>
                <w:szCs w:val="24"/>
                <w:highlight w:val="none"/>
                <w:lang w:val="en-US" w:eastAsia="zh-CN"/>
              </w:rPr>
              <w:t>6  本次环评阶段升压站</w:t>
            </w:r>
            <w:r>
              <w:rPr>
                <w:rFonts w:hint="default" w:ascii="Times New Roman" w:hAnsi="Times New Roman" w:eastAsia="宋体" w:cs="Times New Roman"/>
                <w:b/>
                <w:bCs/>
                <w:color w:val="auto"/>
                <w:sz w:val="24"/>
                <w:szCs w:val="24"/>
                <w:highlight w:val="none"/>
                <w:lang w:val="zh-CN"/>
              </w:rPr>
              <w:t>声环境现状监测结果</w:t>
            </w:r>
            <w:r>
              <w:rPr>
                <w:rFonts w:hint="default" w:ascii="Times New Roman" w:hAnsi="Times New Roman" w:eastAsia="宋体" w:cs="Times New Roman"/>
                <w:b/>
                <w:bCs/>
                <w:color w:val="auto"/>
                <w:sz w:val="24"/>
                <w:szCs w:val="24"/>
                <w:highlight w:val="none"/>
                <w:lang w:val="en-US" w:eastAsia="zh-CN"/>
              </w:rPr>
              <w:t>一览表  单位：dB（A）</w:t>
            </w:r>
          </w:p>
          <w:tbl>
            <w:tblPr>
              <w:tblStyle w:val="50"/>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953"/>
              <w:gridCol w:w="1192"/>
              <w:gridCol w:w="805"/>
              <w:gridCol w:w="1231"/>
              <w:gridCol w:w="1043"/>
              <w:gridCol w:w="1061"/>
            </w:tblGrid>
            <w:tr w14:paraId="6110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339" w:type="pct"/>
                  <w:vAlign w:val="center"/>
                </w:tcPr>
                <w:p w14:paraId="46BAAAF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49" w:type="pct"/>
                  <w:vAlign w:val="center"/>
                </w:tcPr>
                <w:p w14:paraId="7E99E15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w:t>
                  </w:r>
                </w:p>
              </w:tc>
              <w:tc>
                <w:tcPr>
                  <w:tcW w:w="762" w:type="pct"/>
                  <w:vAlign w:val="center"/>
                </w:tcPr>
                <w:p w14:paraId="78815DF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302" w:type="pct"/>
                  <w:gridSpan w:val="2"/>
                  <w:vAlign w:val="center"/>
                </w:tcPr>
                <w:p w14:paraId="4DC49B60">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采样时段</w:t>
                  </w:r>
                </w:p>
              </w:tc>
              <w:tc>
                <w:tcPr>
                  <w:tcW w:w="667" w:type="pct"/>
                  <w:vAlign w:val="center"/>
                </w:tcPr>
                <w:p w14:paraId="344F80AE">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噪声值Leq</w:t>
                  </w:r>
                </w:p>
              </w:tc>
              <w:tc>
                <w:tcPr>
                  <w:tcW w:w="678" w:type="pct"/>
                  <w:vAlign w:val="center"/>
                </w:tcPr>
                <w:p w14:paraId="1CF971F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标准限值</w:t>
                  </w:r>
                </w:p>
              </w:tc>
            </w:tr>
            <w:tr w14:paraId="117D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restart"/>
                  <w:vAlign w:val="center"/>
                </w:tcPr>
                <w:p w14:paraId="74D7A20E">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07" w:name="_Toc2575"/>
                  <w:r>
                    <w:rPr>
                      <w:rFonts w:hint="default" w:ascii="Times New Roman" w:hAnsi="Times New Roman" w:eastAsia="宋体" w:cs="Times New Roman"/>
                      <w:b w:val="0"/>
                      <w:color w:val="auto"/>
                      <w:spacing w:val="0"/>
                      <w:kern w:val="2"/>
                      <w:sz w:val="21"/>
                      <w:szCs w:val="21"/>
                      <w:highlight w:val="none"/>
                      <w:lang w:val="en-US" w:eastAsia="zh-CN" w:bidi="ar-SA"/>
                    </w:rPr>
                    <w:t>1#</w:t>
                  </w:r>
                  <w:bookmarkEnd w:id="107"/>
                </w:p>
              </w:tc>
              <w:tc>
                <w:tcPr>
                  <w:tcW w:w="1249" w:type="pct"/>
                  <w:vMerge w:val="restart"/>
                  <w:vAlign w:val="center"/>
                </w:tcPr>
                <w:p w14:paraId="346DF2B8">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bookmarkStart w:id="108" w:name="_Toc4892"/>
                  <w:r>
                    <w:rPr>
                      <w:rFonts w:hint="default" w:ascii="Times New Roman" w:hAnsi="Times New Roman" w:eastAsia="宋体" w:cs="Times New Roman"/>
                      <w:b w:val="0"/>
                      <w:color w:val="auto"/>
                      <w:spacing w:val="0"/>
                      <w:w w:val="100"/>
                      <w:kern w:val="2"/>
                      <w:sz w:val="21"/>
                      <w:szCs w:val="21"/>
                      <w:highlight w:val="none"/>
                      <w:lang w:val="en-US" w:eastAsia="zh-CN" w:bidi="ar-SA"/>
                    </w:rPr>
                    <w:t>220kV升压站东侧围墙外1m处</w:t>
                  </w:r>
                  <w:bookmarkEnd w:id="108"/>
                </w:p>
              </w:tc>
              <w:tc>
                <w:tcPr>
                  <w:tcW w:w="762" w:type="pct"/>
                  <w:shd w:val="clear" w:color="auto" w:fill="auto"/>
                  <w:vAlign w:val="center"/>
                </w:tcPr>
                <w:p w14:paraId="168FC3A4">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5C15A03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87" w:type="pct"/>
                  <w:vAlign w:val="center"/>
                </w:tcPr>
                <w:p w14:paraId="5EE9FDE5">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19:22-19:23</w:t>
                  </w:r>
                </w:p>
              </w:tc>
              <w:tc>
                <w:tcPr>
                  <w:tcW w:w="667" w:type="pct"/>
                  <w:vAlign w:val="center"/>
                </w:tcPr>
                <w:p w14:paraId="41A650A1">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678" w:type="pct"/>
                  <w:vAlign w:val="center"/>
                </w:tcPr>
                <w:p w14:paraId="3550DA0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rPr>
                    <w:t>噪声</w:t>
                  </w:r>
                </w:p>
              </w:tc>
            </w:tr>
            <w:tr w14:paraId="37F1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continue"/>
                  <w:vAlign w:val="center"/>
                </w:tcPr>
                <w:p w14:paraId="3AFD5A09">
                  <w:pPr>
                    <w:pStyle w:val="96"/>
                    <w:keepNext w:val="0"/>
                    <w:pageBreakBefore w:val="0"/>
                    <w:widowControl/>
                    <w:kinsoku/>
                    <w:wordWrap/>
                    <w:overflowPunct/>
                    <w:topLinePunct w:val="0"/>
                    <w:bidi w:val="0"/>
                    <w:adjustRightInd/>
                    <w:snapToGrid/>
                    <w:spacing w:beforeLines="0" w:afterLines="0" w:line="300" w:lineRule="auto"/>
                    <w:ind w:left="-105" w:leftChars="-50" w:right="-105" w:rightChars="-50" w:firstLine="0" w:firstLineChars="0"/>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249" w:type="pct"/>
                  <w:vMerge w:val="continue"/>
                  <w:vAlign w:val="center"/>
                </w:tcPr>
                <w:p w14:paraId="0838A5CE">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62" w:type="pct"/>
                  <w:shd w:val="clear" w:color="auto" w:fill="auto"/>
                  <w:vAlign w:val="center"/>
                </w:tcPr>
                <w:p w14:paraId="4DE0EAFB">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62EBF9E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87" w:type="pct"/>
                  <w:vAlign w:val="center"/>
                </w:tcPr>
                <w:p w14:paraId="24AE8AB4">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22:17-22:18</w:t>
                  </w:r>
                </w:p>
              </w:tc>
              <w:tc>
                <w:tcPr>
                  <w:tcW w:w="667" w:type="pct"/>
                  <w:vAlign w:val="center"/>
                </w:tcPr>
                <w:p w14:paraId="665DC73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678" w:type="pct"/>
                  <w:vAlign w:val="center"/>
                </w:tcPr>
                <w:p w14:paraId="6B5CB32C">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环境噪声</w:t>
                  </w:r>
                </w:p>
              </w:tc>
            </w:tr>
            <w:tr w14:paraId="19E8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restart"/>
                  <w:vAlign w:val="center"/>
                </w:tcPr>
                <w:p w14:paraId="38464FD4">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09" w:name="_Toc6342"/>
                  <w:r>
                    <w:rPr>
                      <w:rFonts w:hint="default" w:ascii="Times New Roman" w:hAnsi="Times New Roman" w:eastAsia="宋体" w:cs="Times New Roman"/>
                      <w:b w:val="0"/>
                      <w:color w:val="auto"/>
                      <w:spacing w:val="0"/>
                      <w:kern w:val="2"/>
                      <w:sz w:val="21"/>
                      <w:szCs w:val="21"/>
                      <w:highlight w:val="none"/>
                      <w:lang w:val="en-US" w:eastAsia="zh-CN" w:bidi="ar-SA"/>
                    </w:rPr>
                    <w:t>2#</w:t>
                  </w:r>
                  <w:bookmarkEnd w:id="109"/>
                </w:p>
              </w:tc>
              <w:tc>
                <w:tcPr>
                  <w:tcW w:w="1249" w:type="pct"/>
                  <w:vMerge w:val="restart"/>
                  <w:vAlign w:val="center"/>
                </w:tcPr>
                <w:p w14:paraId="5DEFC5E5">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220kV升压站南侧围墙外1m处</w:t>
                  </w:r>
                </w:p>
              </w:tc>
              <w:tc>
                <w:tcPr>
                  <w:tcW w:w="762" w:type="pct"/>
                  <w:shd w:val="clear" w:color="auto" w:fill="auto"/>
                  <w:vAlign w:val="center"/>
                </w:tcPr>
                <w:p w14:paraId="204255F1">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3B67C37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87" w:type="pct"/>
                  <w:vAlign w:val="center"/>
                </w:tcPr>
                <w:p w14:paraId="65AFA6DF">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19:04-19:05</w:t>
                  </w:r>
                </w:p>
              </w:tc>
              <w:tc>
                <w:tcPr>
                  <w:tcW w:w="667" w:type="pct"/>
                  <w:vAlign w:val="center"/>
                </w:tcPr>
                <w:p w14:paraId="7713A6E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678" w:type="pct"/>
                  <w:vAlign w:val="center"/>
                </w:tcPr>
                <w:p w14:paraId="042566F4">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rPr>
                    <w:t>噪声</w:t>
                  </w:r>
                </w:p>
              </w:tc>
            </w:tr>
            <w:tr w14:paraId="454A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continue"/>
                  <w:vAlign w:val="center"/>
                </w:tcPr>
                <w:p w14:paraId="0614DAFA">
                  <w:pPr>
                    <w:pStyle w:val="96"/>
                    <w:keepNext w:val="0"/>
                    <w:pageBreakBefore w:val="0"/>
                    <w:widowControl/>
                    <w:kinsoku/>
                    <w:wordWrap/>
                    <w:overflowPunct/>
                    <w:topLinePunct w:val="0"/>
                    <w:bidi w:val="0"/>
                    <w:adjustRightInd/>
                    <w:snapToGrid/>
                    <w:spacing w:beforeLines="0" w:afterLines="0" w:line="300" w:lineRule="auto"/>
                    <w:ind w:left="-105" w:leftChars="-50" w:right="-105" w:rightChars="-50" w:firstLine="0" w:firstLineChars="0"/>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249" w:type="pct"/>
                  <w:vMerge w:val="continue"/>
                  <w:vAlign w:val="center"/>
                </w:tcPr>
                <w:p w14:paraId="5C113F29">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62" w:type="pct"/>
                  <w:shd w:val="clear" w:color="auto" w:fill="auto"/>
                  <w:vAlign w:val="center"/>
                </w:tcPr>
                <w:p w14:paraId="6063C23B">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65B06729">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87" w:type="pct"/>
                  <w:vAlign w:val="center"/>
                </w:tcPr>
                <w:p w14:paraId="0E60A68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22:11-22:12</w:t>
                  </w:r>
                </w:p>
              </w:tc>
              <w:tc>
                <w:tcPr>
                  <w:tcW w:w="667" w:type="pct"/>
                  <w:vAlign w:val="center"/>
                </w:tcPr>
                <w:p w14:paraId="4821768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678" w:type="pct"/>
                  <w:vAlign w:val="center"/>
                </w:tcPr>
                <w:p w14:paraId="28B3736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环境噪声</w:t>
                  </w:r>
                </w:p>
              </w:tc>
            </w:tr>
            <w:tr w14:paraId="4B0E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restart"/>
                  <w:vAlign w:val="center"/>
                </w:tcPr>
                <w:p w14:paraId="1D2E3364">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10" w:name="_Toc13253"/>
                  <w:r>
                    <w:rPr>
                      <w:rFonts w:hint="default" w:ascii="Times New Roman" w:hAnsi="Times New Roman" w:eastAsia="宋体" w:cs="Times New Roman"/>
                      <w:b w:val="0"/>
                      <w:color w:val="auto"/>
                      <w:spacing w:val="0"/>
                      <w:kern w:val="2"/>
                      <w:sz w:val="21"/>
                      <w:szCs w:val="21"/>
                      <w:highlight w:val="none"/>
                      <w:lang w:val="en-US" w:eastAsia="zh-CN" w:bidi="ar-SA"/>
                    </w:rPr>
                    <w:t>3#</w:t>
                  </w:r>
                  <w:bookmarkEnd w:id="110"/>
                </w:p>
              </w:tc>
              <w:tc>
                <w:tcPr>
                  <w:tcW w:w="1249" w:type="pct"/>
                  <w:vMerge w:val="restart"/>
                  <w:vAlign w:val="center"/>
                </w:tcPr>
                <w:p w14:paraId="7F038FE8">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220kV升压站西侧围墙外1m处</w:t>
                  </w:r>
                </w:p>
              </w:tc>
              <w:tc>
                <w:tcPr>
                  <w:tcW w:w="762" w:type="pct"/>
                  <w:vAlign w:val="center"/>
                </w:tcPr>
                <w:p w14:paraId="60CBF93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1A08E29E">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87" w:type="pct"/>
                  <w:vAlign w:val="center"/>
                </w:tcPr>
                <w:p w14:paraId="7E8E7CC1">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18:54-18:55</w:t>
                  </w:r>
                </w:p>
              </w:tc>
              <w:tc>
                <w:tcPr>
                  <w:tcW w:w="667" w:type="pct"/>
                  <w:vAlign w:val="center"/>
                </w:tcPr>
                <w:p w14:paraId="014AC13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678" w:type="pct"/>
                  <w:vAlign w:val="center"/>
                </w:tcPr>
                <w:p w14:paraId="39700BA4">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rPr>
                    <w:t>噪声</w:t>
                  </w:r>
                </w:p>
              </w:tc>
            </w:tr>
            <w:tr w14:paraId="2217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continue"/>
                  <w:vAlign w:val="center"/>
                </w:tcPr>
                <w:p w14:paraId="4A5746AF">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249" w:type="pct"/>
                  <w:vMerge w:val="continue"/>
                  <w:vAlign w:val="center"/>
                </w:tcPr>
                <w:p w14:paraId="664A8BFB">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62" w:type="pct"/>
                  <w:vAlign w:val="center"/>
                </w:tcPr>
                <w:p w14:paraId="7E1482C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39520E8E">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87" w:type="pct"/>
                  <w:vAlign w:val="center"/>
                </w:tcPr>
                <w:p w14:paraId="3230C3CE">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22:05-22:06</w:t>
                  </w:r>
                </w:p>
              </w:tc>
              <w:tc>
                <w:tcPr>
                  <w:tcW w:w="667" w:type="pct"/>
                  <w:vAlign w:val="center"/>
                </w:tcPr>
                <w:p w14:paraId="122FA6A9">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w:t>
                  </w:r>
                </w:p>
              </w:tc>
              <w:tc>
                <w:tcPr>
                  <w:tcW w:w="678" w:type="pct"/>
                  <w:vAlign w:val="center"/>
                </w:tcPr>
                <w:p w14:paraId="0F86B94E">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环境噪声</w:t>
                  </w:r>
                </w:p>
              </w:tc>
            </w:tr>
            <w:tr w14:paraId="6B69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339" w:type="pct"/>
                  <w:vMerge w:val="restart"/>
                  <w:vAlign w:val="center"/>
                </w:tcPr>
                <w:p w14:paraId="438E30AD">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11" w:name="_Toc29568"/>
                  <w:r>
                    <w:rPr>
                      <w:rFonts w:hint="default" w:ascii="Times New Roman" w:hAnsi="Times New Roman" w:eastAsia="宋体" w:cs="Times New Roman"/>
                      <w:b w:val="0"/>
                      <w:color w:val="auto"/>
                      <w:spacing w:val="0"/>
                      <w:kern w:val="2"/>
                      <w:sz w:val="21"/>
                      <w:szCs w:val="21"/>
                      <w:highlight w:val="none"/>
                      <w:lang w:val="en-US" w:eastAsia="zh-CN" w:bidi="ar-SA"/>
                    </w:rPr>
                    <w:t>4#</w:t>
                  </w:r>
                  <w:bookmarkEnd w:id="111"/>
                </w:p>
              </w:tc>
              <w:tc>
                <w:tcPr>
                  <w:tcW w:w="1249" w:type="pct"/>
                  <w:vMerge w:val="restart"/>
                  <w:vAlign w:val="center"/>
                </w:tcPr>
                <w:p w14:paraId="5A357B68">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220kV升压站北侧围墙外1m处</w:t>
                  </w:r>
                </w:p>
              </w:tc>
              <w:tc>
                <w:tcPr>
                  <w:tcW w:w="762" w:type="pct"/>
                  <w:vAlign w:val="center"/>
                </w:tcPr>
                <w:p w14:paraId="273A1A2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6C6A7376">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87" w:type="pct"/>
                  <w:vAlign w:val="center"/>
                </w:tcPr>
                <w:p w14:paraId="4EBC6AD9">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19:37-19:38</w:t>
                  </w:r>
                </w:p>
              </w:tc>
              <w:tc>
                <w:tcPr>
                  <w:tcW w:w="667" w:type="pct"/>
                  <w:vAlign w:val="center"/>
                </w:tcPr>
                <w:p w14:paraId="7A630BE9">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w:t>
                  </w:r>
                </w:p>
              </w:tc>
              <w:tc>
                <w:tcPr>
                  <w:tcW w:w="678" w:type="pct"/>
                  <w:vAlign w:val="center"/>
                </w:tcPr>
                <w:p w14:paraId="3FEFD5FE">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rPr>
                    <w:t>噪声</w:t>
                  </w:r>
                </w:p>
              </w:tc>
            </w:tr>
            <w:tr w14:paraId="2682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339" w:type="pct"/>
                  <w:vMerge w:val="continue"/>
                  <w:vAlign w:val="center"/>
                </w:tcPr>
                <w:p w14:paraId="0A9E9B1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49" w:type="pct"/>
                  <w:vMerge w:val="continue"/>
                  <w:vAlign w:val="center"/>
                </w:tcPr>
                <w:p w14:paraId="7C314115">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762" w:type="pct"/>
                  <w:vAlign w:val="center"/>
                </w:tcPr>
                <w:p w14:paraId="79CF2B5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514" w:type="pct"/>
                  <w:vAlign w:val="center"/>
                </w:tcPr>
                <w:p w14:paraId="324A848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87" w:type="pct"/>
                  <w:vAlign w:val="center"/>
                </w:tcPr>
                <w:p w14:paraId="6CF2D521">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22:24-22:25</w:t>
                  </w:r>
                </w:p>
              </w:tc>
              <w:tc>
                <w:tcPr>
                  <w:tcW w:w="667" w:type="pct"/>
                  <w:vAlign w:val="center"/>
                </w:tcPr>
                <w:p w14:paraId="195CD0A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w:t>
                  </w:r>
                </w:p>
              </w:tc>
              <w:tc>
                <w:tcPr>
                  <w:tcW w:w="678" w:type="pct"/>
                  <w:vAlign w:val="center"/>
                </w:tcPr>
                <w:p w14:paraId="3D3DE8FC">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环境噪声</w:t>
                  </w:r>
                </w:p>
              </w:tc>
            </w:tr>
          </w:tbl>
          <w:p w14:paraId="7C2E9275">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根据本次环境影响评价期间声环境现状</w:t>
            </w:r>
            <w:r>
              <w:rPr>
                <w:rFonts w:hint="default" w:ascii="Times New Roman" w:hAnsi="Times New Roman" w:eastAsia="宋体" w:cs="Times New Roman"/>
                <w:color w:val="auto"/>
                <w:sz w:val="24"/>
                <w:szCs w:val="24"/>
                <w:highlight w:val="none"/>
              </w:rPr>
              <w:t>监测</w:t>
            </w:r>
            <w:r>
              <w:rPr>
                <w:rFonts w:hint="default" w:ascii="Times New Roman" w:hAnsi="Times New Roman" w:eastAsia="宋体" w:cs="Times New Roman"/>
                <w:color w:val="auto"/>
                <w:sz w:val="24"/>
                <w:szCs w:val="24"/>
                <w:highlight w:val="none"/>
                <w:lang w:val="en-US" w:eastAsia="zh-CN"/>
              </w:rPr>
              <w:t>结果</w:t>
            </w:r>
            <w:r>
              <w:rPr>
                <w:rFonts w:hint="default" w:ascii="Times New Roman" w:hAnsi="Times New Roman" w:eastAsia="宋体" w:cs="Times New Roman"/>
                <w:color w:val="auto"/>
                <w:sz w:val="24"/>
                <w:szCs w:val="24"/>
                <w:highlight w:val="none"/>
              </w:rPr>
              <w:t>表明：</w:t>
            </w:r>
            <w:r>
              <w:rPr>
                <w:rFonts w:hint="default" w:ascii="Times New Roman" w:hAnsi="Times New Roman" w:eastAsia="宋体" w:cs="Times New Roman"/>
                <w:color w:val="auto"/>
                <w:sz w:val="24"/>
                <w:szCs w:val="24"/>
                <w:highlight w:val="none"/>
                <w:lang w:val="en-US" w:eastAsia="zh-CN"/>
              </w:rPr>
              <w:t>升压站厂界东、南、西、北四侧噪声监测值为：昼间42~48dB（A）、夜间38~42dB（A），均满足</w:t>
            </w:r>
            <w:r>
              <w:rPr>
                <w:rFonts w:hint="default" w:ascii="Times New Roman" w:hAnsi="Times New Roman" w:eastAsia="宋体" w:cs="Times New Roman"/>
                <w:color w:val="auto"/>
                <w:sz w:val="24"/>
                <w:szCs w:val="24"/>
                <w:highlight w:val="none"/>
                <w:lang w:eastAsia="zh-CN"/>
              </w:rPr>
              <w:t>《声环境质量标准》（GB3096-2008）2类标准，</w:t>
            </w:r>
            <w:r>
              <w:rPr>
                <w:rFonts w:hint="default" w:ascii="Times New Roman" w:hAnsi="Times New Roman" w:eastAsia="宋体" w:cs="Times New Roman"/>
                <w:color w:val="auto"/>
                <w:sz w:val="24"/>
                <w:szCs w:val="24"/>
                <w:highlight w:val="none"/>
                <w:lang w:val="en-US" w:eastAsia="zh-CN"/>
              </w:rPr>
              <w:t>即昼间≤60dB（A）、夜间≤50dB（A）</w:t>
            </w:r>
            <w:r>
              <w:rPr>
                <w:rFonts w:hint="default" w:ascii="Times New Roman" w:hAnsi="Times New Roman" w:eastAsia="宋体" w:cs="Times New Roman"/>
                <w:color w:val="auto"/>
                <w:sz w:val="24"/>
                <w:szCs w:val="24"/>
                <w:highlight w:val="none"/>
              </w:rPr>
              <w:t>。</w:t>
            </w:r>
          </w:p>
          <w:p w14:paraId="7DBD204D">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所在区域</w:t>
            </w:r>
            <w:r>
              <w:rPr>
                <w:rFonts w:hint="default" w:ascii="Times New Roman" w:hAnsi="Times New Roman" w:eastAsia="宋体" w:cs="Times New Roman"/>
                <w:color w:val="auto"/>
                <w:sz w:val="24"/>
                <w:szCs w:val="24"/>
                <w:highlight w:val="none"/>
              </w:rPr>
              <w:t>声环境质量现状良好。</w:t>
            </w:r>
          </w:p>
          <w:p w14:paraId="15D52E81">
            <w:pPr>
              <w:adjustRightInd w:val="0"/>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5、生态环境现状</w:t>
            </w:r>
          </w:p>
          <w:p w14:paraId="1B6C49AE">
            <w:pPr>
              <w:autoSpaceDE w:val="0"/>
              <w:autoSpaceDN w:val="0"/>
              <w:adjustRightInd w:val="0"/>
              <w:spacing w:line="360" w:lineRule="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5.1</w:t>
            </w:r>
            <w:r>
              <w:rPr>
                <w:rFonts w:hint="default" w:ascii="Times New Roman" w:hAnsi="Times New Roman" w:eastAsia="宋体" w:cs="Times New Roman"/>
                <w:b/>
                <w:bCs/>
                <w:color w:val="auto"/>
                <w:sz w:val="24"/>
                <w:highlight w:val="none"/>
                <w:lang w:val="en-US" w:eastAsia="zh-CN"/>
              </w:rPr>
              <w:t>生态环境</w:t>
            </w:r>
            <w:r>
              <w:rPr>
                <w:rFonts w:hint="default" w:ascii="Times New Roman" w:hAnsi="Times New Roman" w:eastAsia="宋体" w:cs="Times New Roman"/>
                <w:b/>
                <w:bCs/>
                <w:color w:val="auto"/>
                <w:kern w:val="0"/>
                <w:sz w:val="24"/>
                <w:szCs w:val="24"/>
                <w:highlight w:val="none"/>
                <w:lang w:val="en-US" w:eastAsia="zh-CN"/>
              </w:rPr>
              <w:t>评价范围与调查范围</w:t>
            </w:r>
          </w:p>
          <w:p w14:paraId="6DD3188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本工程为</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升压站建设</w:t>
            </w:r>
            <w:r>
              <w:rPr>
                <w:rFonts w:hint="default" w:ascii="Times New Roman" w:hAnsi="Times New Roman" w:eastAsia="宋体" w:cs="Times New Roman"/>
                <w:color w:val="auto"/>
                <w:kern w:val="0"/>
                <w:sz w:val="24"/>
                <w:szCs w:val="24"/>
                <w:highlight w:val="none"/>
              </w:rPr>
              <w:t>工程</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环评阶段，</w:t>
            </w:r>
            <w:r>
              <w:rPr>
                <w:rFonts w:hint="default" w:ascii="Times New Roman" w:hAnsi="Times New Roman" w:eastAsia="宋体" w:cs="Times New Roman"/>
                <w:snapToGrid w:val="0"/>
                <w:color w:val="auto"/>
                <w:kern w:val="0"/>
                <w:sz w:val="24"/>
                <w:szCs w:val="30"/>
                <w:highlight w:val="none"/>
                <w:lang w:eastAsia="zh-CN"/>
              </w:rPr>
              <w:t>禄劝彝族苗族自治县自然资源局关于《中清能禄劝县岩子头200MW生态修复光伏电站项目的规划核查意见》（</w:t>
            </w:r>
            <w:r>
              <w:rPr>
                <w:rFonts w:hint="default" w:ascii="Times New Roman" w:hAnsi="Times New Roman" w:eastAsia="宋体" w:cs="Times New Roman"/>
                <w:snapToGrid w:val="0"/>
                <w:color w:val="auto"/>
                <w:kern w:val="0"/>
                <w:sz w:val="24"/>
                <w:szCs w:val="30"/>
                <w:highlight w:val="none"/>
                <w:lang w:val="en-US" w:eastAsia="zh-CN"/>
              </w:rPr>
              <w:t>详见附件7</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可知，本项目升压站不涉及生态保护红线及基本农田；根据</w:t>
            </w:r>
            <w:r>
              <w:rPr>
                <w:rFonts w:hint="default" w:ascii="Times New Roman" w:hAnsi="Times New Roman" w:eastAsia="宋体" w:cs="Times New Roman"/>
                <w:snapToGrid w:val="0"/>
                <w:color w:val="auto"/>
                <w:kern w:val="0"/>
                <w:sz w:val="24"/>
                <w:szCs w:val="30"/>
                <w:highlight w:val="none"/>
                <w:lang w:eastAsia="zh-CN"/>
              </w:rPr>
              <w:t>禄劝彝族苗族自治县云龙水库水源保护区管理局关于《关于禄劝皎平渡镇永善村120MW中清能禄劝县岩子头200MW等4个光伏电站建设项目出示相关意见的函》的复函，</w:t>
            </w:r>
            <w:r>
              <w:rPr>
                <w:rFonts w:hint="default" w:ascii="Times New Roman" w:hAnsi="Times New Roman" w:eastAsia="宋体" w:cs="Times New Roman"/>
                <w:snapToGrid w:val="0"/>
                <w:color w:val="auto"/>
                <w:kern w:val="0"/>
                <w:sz w:val="24"/>
                <w:szCs w:val="30"/>
                <w:highlight w:val="none"/>
                <w:lang w:val="en-US" w:eastAsia="zh-CN"/>
              </w:rPr>
              <w:t>本项目选址不涉及饮用水水源保护区，此外</w:t>
            </w:r>
            <w:r>
              <w:rPr>
                <w:rFonts w:hint="default" w:ascii="Times New Roman" w:hAnsi="Times New Roman" w:eastAsia="宋体" w:cs="Times New Roman"/>
                <w:color w:val="auto"/>
                <w:kern w:val="0"/>
                <w:sz w:val="24"/>
                <w:highlight w:val="none"/>
                <w:lang w:val="en-US" w:eastAsia="zh-CN"/>
              </w:rPr>
              <w:t>根据调查</w:t>
            </w:r>
            <w:r>
              <w:rPr>
                <w:rFonts w:hint="default" w:ascii="Times New Roman" w:hAnsi="Times New Roman" w:eastAsia="宋体" w:cs="Times New Roman"/>
                <w:color w:val="auto"/>
                <w:kern w:val="0"/>
                <w:sz w:val="24"/>
                <w:highlight w:val="none"/>
              </w:rPr>
              <w:t>，项目不涉及自然保护区、风景名胜区、世界文化和自然遗产地、森林公园、地质公园、重要湿地等生态环境敏感区</w:t>
            </w:r>
            <w:r>
              <w:rPr>
                <w:rFonts w:hint="default" w:ascii="Times New Roman" w:hAnsi="Times New Roman" w:eastAsia="宋体" w:cs="Times New Roman"/>
                <w:color w:val="auto"/>
                <w:kern w:val="0"/>
                <w:sz w:val="24"/>
                <w:highlight w:val="none"/>
                <w:lang w:eastAsia="zh-CN"/>
              </w:rPr>
              <w:t>。</w:t>
            </w:r>
          </w:p>
          <w:p w14:paraId="0F882CEA">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根据《环境影响评价技术导则 生态影响》（HJ19-2022），结合《环境影响评价技术导则输变电》（HJ24-2020），确定本项目生态环境评价范围是：以变电站站址为中心分别向站界外延500m的面状区域作为调查范围，调查范围与评价范围一致。</w:t>
            </w:r>
          </w:p>
          <w:p w14:paraId="390467F1">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5.2调查方法</w:t>
            </w:r>
          </w:p>
          <w:p w14:paraId="528C4894">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highlight w:val="none"/>
              </w:rPr>
              <w:t>本工程</w:t>
            </w:r>
            <w:r>
              <w:rPr>
                <w:rFonts w:hint="default" w:ascii="Times New Roman" w:hAnsi="Times New Roman" w:eastAsia="宋体" w:cs="Times New Roman"/>
                <w:color w:val="auto"/>
                <w:kern w:val="0"/>
                <w:sz w:val="24"/>
                <w:szCs w:val="24"/>
                <w:highlight w:val="none"/>
                <w:lang w:val="en-US" w:eastAsia="zh-CN"/>
              </w:rPr>
              <w:t>升压站</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w:t>
            </w:r>
            <w:r>
              <w:rPr>
                <w:rFonts w:hint="default" w:ascii="Times New Roman" w:hAnsi="Times New Roman" w:eastAsia="宋体" w:cs="Times New Roman"/>
                <w:color w:val="auto"/>
                <w:kern w:val="0"/>
                <w:sz w:val="24"/>
                <w:szCs w:val="24"/>
                <w:highlight w:val="none"/>
                <w:lang w:eastAsia="zh-CN"/>
              </w:rPr>
              <w:t>220kV</w:t>
            </w:r>
            <w:r>
              <w:rPr>
                <w:rFonts w:hint="default" w:ascii="Times New Roman" w:hAnsi="Times New Roman" w:eastAsia="宋体" w:cs="Times New Roman"/>
                <w:color w:val="auto"/>
                <w:kern w:val="0"/>
                <w:sz w:val="24"/>
                <w:szCs w:val="24"/>
                <w:highlight w:val="none"/>
                <w:lang w:val="en-US" w:eastAsia="zh-CN"/>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本次生态环境现状调查</w:t>
            </w:r>
            <w:r>
              <w:rPr>
                <w:rFonts w:hint="default" w:ascii="Times New Roman" w:hAnsi="Times New Roman" w:eastAsia="宋体" w:cs="Times New Roman"/>
                <w:color w:val="auto"/>
                <w:sz w:val="24"/>
                <w:szCs w:val="24"/>
                <w:highlight w:val="none"/>
                <w:lang w:val="en-US" w:eastAsia="zh-CN"/>
              </w:rPr>
              <w:t>根据《中清能禄劝县岩子头200MW生态修复光伏电站项目环境影响报告表》，同时结合</w:t>
            </w:r>
            <w:r>
              <w:rPr>
                <w:rFonts w:hint="default" w:ascii="Times New Roman" w:hAnsi="Times New Roman" w:eastAsia="宋体" w:cs="Times New Roman"/>
                <w:color w:val="auto"/>
                <w:sz w:val="24"/>
                <w:szCs w:val="24"/>
                <w:highlight w:val="none"/>
              </w:rPr>
              <w:t>现场勘查和收集资料相结合的方法进行生态环境质量现状调查。本次生态环境现状调查的范围为升压站</w:t>
            </w:r>
            <w:r>
              <w:rPr>
                <w:rFonts w:hint="default" w:ascii="Times New Roman" w:hAnsi="Times New Roman" w:eastAsia="宋体" w:cs="Times New Roman"/>
                <w:color w:val="auto"/>
                <w:sz w:val="24"/>
                <w:szCs w:val="24"/>
                <w:highlight w:val="none"/>
                <w:lang w:val="en-US" w:eastAsia="zh-CN"/>
              </w:rPr>
              <w:t>四周</w:t>
            </w:r>
            <w:r>
              <w:rPr>
                <w:rFonts w:hint="default" w:ascii="Times New Roman" w:hAnsi="Times New Roman" w:eastAsia="宋体" w:cs="Times New Roman"/>
                <w:color w:val="auto"/>
                <w:sz w:val="24"/>
                <w:szCs w:val="24"/>
                <w:highlight w:val="none"/>
              </w:rPr>
              <w:t>外延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00m的</w:t>
            </w:r>
            <w:r>
              <w:rPr>
                <w:rFonts w:hint="default" w:ascii="Times New Roman" w:hAnsi="Times New Roman" w:eastAsia="宋体" w:cs="Times New Roman"/>
                <w:color w:val="auto"/>
                <w:sz w:val="24"/>
                <w:szCs w:val="24"/>
                <w:highlight w:val="none"/>
                <w:lang w:val="en-US" w:eastAsia="zh-CN"/>
              </w:rPr>
              <w:t>面状</w:t>
            </w:r>
            <w:r>
              <w:rPr>
                <w:rFonts w:hint="default" w:ascii="Times New Roman" w:hAnsi="Times New Roman" w:eastAsia="宋体" w:cs="Times New Roman"/>
                <w:color w:val="auto"/>
                <w:sz w:val="24"/>
                <w:szCs w:val="24"/>
                <w:highlight w:val="none"/>
              </w:rPr>
              <w:t>范围。本次生态环境评价范围与生态环境现状调查范围一致，评价面积为</w:t>
            </w:r>
            <w:r>
              <w:rPr>
                <w:rFonts w:hint="default" w:ascii="Times New Roman" w:hAnsi="Times New Roman" w:eastAsia="宋体" w:cs="Times New Roman"/>
                <w:color w:val="auto"/>
                <w:sz w:val="24"/>
                <w:szCs w:val="24"/>
                <w:highlight w:val="none"/>
                <w:lang w:val="en-US" w:eastAsia="zh-CN"/>
              </w:rPr>
              <w:t>79.62</w:t>
            </w:r>
            <w:r>
              <w:rPr>
                <w:rFonts w:hint="default" w:ascii="Times New Roman" w:hAnsi="Times New Roman" w:eastAsia="宋体" w:cs="Times New Roman"/>
                <w:color w:val="auto"/>
                <w:sz w:val="24"/>
                <w:szCs w:val="24"/>
                <w:highlight w:val="none"/>
              </w:rPr>
              <w:t>hm²。调查内容包括土地利用现状、植被类型及分布、野生动物的种类及分布等。</w:t>
            </w:r>
          </w:p>
          <w:p w14:paraId="4CE3A2F9">
            <w:pPr>
              <w:keepNext w:val="0"/>
              <w:keepLines w:val="0"/>
              <w:pageBreakBefore w:val="0"/>
              <w:kinsoku/>
              <w:wordWrap/>
              <w:overflowPunct/>
              <w:topLinePunct w:val="0"/>
              <w:bidi w:val="0"/>
              <w:adjustRightInd w:val="0"/>
              <w:snapToGrid/>
              <w:spacing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5.3项目区</w:t>
            </w:r>
            <w:r>
              <w:rPr>
                <w:rFonts w:hint="default" w:ascii="Times New Roman" w:hAnsi="Times New Roman" w:eastAsia="宋体" w:cs="Times New Roman"/>
                <w:b/>
                <w:color w:val="auto"/>
                <w:sz w:val="24"/>
                <w:szCs w:val="24"/>
                <w:highlight w:val="none"/>
              </w:rPr>
              <w:t>土地利用现状</w:t>
            </w:r>
          </w:p>
          <w:p w14:paraId="6E8A4570">
            <w:pPr>
              <w:pStyle w:val="16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本项目220kV升压站目前已建设完工，项目总占地面积为</w:t>
            </w:r>
            <w:bookmarkStart w:id="112" w:name="OLE_LINK153"/>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bookmarkEnd w:id="112"/>
            <w:r>
              <w:rPr>
                <w:rFonts w:hint="default" w:ascii="Times New Roman" w:hAnsi="Times New Roman" w:eastAsia="宋体" w:cs="Times New Roman"/>
                <w:color w:val="auto"/>
                <w:sz w:val="24"/>
                <w:highlight w:val="none"/>
                <w:vertAlign w:val="baseline"/>
                <w:lang w:eastAsia="zh-CN"/>
              </w:rPr>
              <w:t>，</w:t>
            </w:r>
            <w:r>
              <w:rPr>
                <w:rFonts w:hint="default" w:ascii="Times New Roman" w:hAnsi="Times New Roman" w:eastAsia="宋体" w:cs="Times New Roman"/>
                <w:color w:val="auto"/>
                <w:sz w:val="24"/>
                <w:highlight w:val="none"/>
                <w:vertAlign w:val="baseline"/>
                <w:lang w:val="en-US" w:eastAsia="zh-CN"/>
              </w:rPr>
              <w:t>属于永久占地，现状属于</w:t>
            </w:r>
            <w:r>
              <w:rPr>
                <w:rFonts w:hint="default" w:ascii="Times New Roman" w:hAnsi="Times New Roman" w:eastAsia="宋体" w:cs="Times New Roman"/>
                <w:color w:val="auto"/>
                <w:sz w:val="24"/>
                <w:highlight w:val="none"/>
                <w:lang w:val="en-US" w:eastAsia="zh-CN"/>
              </w:rPr>
              <w:t>工业用地</w:t>
            </w:r>
            <w:r>
              <w:rPr>
                <w:rFonts w:hint="default" w:ascii="Times New Roman" w:hAnsi="Times New Roman" w:eastAsia="宋体" w:cs="Times New Roman"/>
                <w:color w:val="auto"/>
                <w:sz w:val="24"/>
                <w:highlight w:val="none"/>
              </w:rPr>
              <w:t>。</w:t>
            </w:r>
          </w:p>
          <w:p w14:paraId="513ABD7E">
            <w:pPr>
              <w:pStyle w:val="23"/>
              <w:keepNext w:val="0"/>
              <w:keepLines w:val="0"/>
              <w:pageBreakBefore w:val="0"/>
              <w:kinsoku/>
              <w:wordWrap/>
              <w:overflowPunct/>
              <w:topLinePunct w:val="0"/>
              <w:autoSpaceDE/>
              <w:autoSpaceDN/>
              <w:bidi w:val="0"/>
              <w:adjustRightInd/>
              <w:snapToGrid/>
              <w:spacing w:before="0" w:after="0" w:line="360" w:lineRule="auto"/>
              <w:ind w:right="0"/>
              <w:textAlignment w:val="auto"/>
              <w:rPr>
                <w:rFonts w:hint="default" w:ascii="Times New Roman" w:hAnsi="Times New Roman" w:eastAsia="宋体" w:cs="Times New Roman"/>
                <w:b/>
                <w:color w:val="auto"/>
                <w:sz w:val="24"/>
                <w:szCs w:val="24"/>
                <w:highlight w:val="none"/>
              </w:rPr>
            </w:pPr>
            <w:bookmarkStart w:id="113" w:name="_Toc12398"/>
            <w:r>
              <w:rPr>
                <w:rFonts w:hint="default" w:ascii="Times New Roman" w:hAnsi="Times New Roman" w:eastAsia="宋体" w:cs="Times New Roman"/>
                <w:b/>
                <w:color w:val="auto"/>
                <w:sz w:val="24"/>
                <w:szCs w:val="24"/>
                <w:highlight w:val="none"/>
                <w:lang w:val="en-US" w:eastAsia="zh-CN"/>
              </w:rPr>
              <w:t>5.4</w:t>
            </w:r>
            <w:r>
              <w:rPr>
                <w:rFonts w:hint="default" w:ascii="Times New Roman" w:hAnsi="Times New Roman" w:eastAsia="宋体" w:cs="Times New Roman"/>
                <w:b/>
                <w:color w:val="auto"/>
                <w:sz w:val="24"/>
                <w:szCs w:val="24"/>
                <w:highlight w:val="none"/>
              </w:rPr>
              <w:t>植被现状调查与评价</w:t>
            </w:r>
            <w:bookmarkEnd w:id="113"/>
          </w:p>
          <w:p w14:paraId="5A0BD434">
            <w:pPr>
              <w:keepNext w:val="0"/>
              <w:keepLines w:val="0"/>
              <w:pageBreakBefore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5.4.1</w:t>
            </w:r>
            <w:r>
              <w:rPr>
                <w:rFonts w:hint="default" w:ascii="Times New Roman" w:hAnsi="Times New Roman" w:eastAsia="宋体" w:cs="Times New Roman"/>
                <w:b/>
                <w:bCs/>
                <w:color w:val="auto"/>
                <w:sz w:val="24"/>
                <w:szCs w:val="24"/>
                <w:highlight w:val="none"/>
              </w:rPr>
              <w:t>评价区植被分类系统</w:t>
            </w:r>
          </w:p>
          <w:p w14:paraId="214870D0">
            <w:pPr>
              <w:keepNext w:val="0"/>
              <w:keepLines w:val="0"/>
              <w:pageBreakBefore w:val="0"/>
              <w:kinsoku/>
              <w:wordWrap/>
              <w:overflowPunct/>
              <w:topLinePunct w:val="0"/>
              <w:autoSpaceDE/>
              <w:autoSpaceDN/>
              <w:bidi w:val="0"/>
              <w:adjustRightInd/>
              <w:snapToGrid/>
              <w:spacing w:line="360" w:lineRule="auto"/>
              <w:ind w:right="0"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根据《中清能禄劝县岩子头200MW生态修复光伏电站项目环境影响报告表》，</w:t>
            </w:r>
            <w:r>
              <w:rPr>
                <w:rFonts w:hint="default" w:ascii="Times New Roman" w:hAnsi="Times New Roman" w:eastAsia="宋体" w:cs="Times New Roman"/>
                <w:color w:val="auto"/>
                <w:sz w:val="24"/>
                <w:szCs w:val="24"/>
                <w:highlight w:val="none"/>
              </w:rPr>
              <w:t>按照《云南植被》的植被分类原则、单位和系统，以及野外调查、整理出的样地资料，将评价内植被划分成</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个植被型、4 个主要群系，具体的分类系统如下表所示</w:t>
            </w:r>
            <w:r>
              <w:rPr>
                <w:rFonts w:hint="default" w:ascii="Times New Roman" w:hAnsi="Times New Roman" w:eastAsia="宋体" w:cs="Times New Roman"/>
                <w:color w:val="auto"/>
                <w:sz w:val="24"/>
                <w:szCs w:val="24"/>
                <w:highlight w:val="none"/>
                <w:lang w:eastAsia="zh-CN"/>
              </w:rPr>
              <w:t>。</w:t>
            </w:r>
          </w:p>
          <w:p w14:paraId="3867B9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 xml:space="preserve">7  </w:t>
            </w:r>
            <w:r>
              <w:rPr>
                <w:rFonts w:hint="default" w:ascii="Times New Roman" w:hAnsi="Times New Roman" w:eastAsia="宋体" w:cs="Times New Roman"/>
                <w:b/>
                <w:bCs/>
                <w:color w:val="auto"/>
                <w:sz w:val="24"/>
                <w:highlight w:val="none"/>
              </w:rPr>
              <w:t>评价区自然植被分类表</w:t>
            </w:r>
          </w:p>
          <w:tbl>
            <w:tblPr>
              <w:tblStyle w:val="49"/>
              <w:tblW w:w="7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722"/>
              <w:gridCol w:w="2396"/>
              <w:gridCol w:w="2617"/>
            </w:tblGrid>
            <w:tr w14:paraId="77F0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162" w:type="dxa"/>
                  <w:shd w:val="clear" w:color="auto" w:fill="auto"/>
                  <w:noWrap w:val="0"/>
                  <w:vAlign w:val="center"/>
                </w:tcPr>
                <w:p w14:paraId="08DA0744">
                  <w:pPr>
                    <w:spacing w:line="240" w:lineRule="auto"/>
                    <w:ind w:firstLine="0" w:firstLineChars="0"/>
                    <w:jc w:val="center"/>
                    <w:rPr>
                      <w:rFonts w:hint="default" w:ascii="Times New Roman" w:hAnsi="Times New Roman" w:eastAsia="宋体" w:cs="Times New Roman"/>
                      <w:color w:val="auto"/>
                      <w:sz w:val="21"/>
                      <w:szCs w:val="21"/>
                      <w:highlight w:val="none"/>
                    </w:rPr>
                  </w:pPr>
                  <w:bookmarkStart w:id="114" w:name="_Toc13738"/>
                  <w:r>
                    <w:rPr>
                      <w:rFonts w:hint="default" w:ascii="Times New Roman" w:hAnsi="Times New Roman" w:eastAsia="宋体" w:cs="Times New Roman"/>
                      <w:color w:val="auto"/>
                      <w:sz w:val="21"/>
                      <w:szCs w:val="21"/>
                      <w:highlight w:val="none"/>
                    </w:rPr>
                    <w:t>植被</w:t>
                  </w:r>
                </w:p>
              </w:tc>
              <w:tc>
                <w:tcPr>
                  <w:tcW w:w="1722" w:type="dxa"/>
                  <w:shd w:val="clear" w:color="auto" w:fill="auto"/>
                  <w:noWrap w:val="0"/>
                  <w:vAlign w:val="center"/>
                </w:tcPr>
                <w:p w14:paraId="44AB101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植被型</w:t>
                  </w:r>
                </w:p>
              </w:tc>
              <w:tc>
                <w:tcPr>
                  <w:tcW w:w="2396" w:type="dxa"/>
                  <w:shd w:val="clear" w:color="auto" w:fill="auto"/>
                  <w:noWrap w:val="0"/>
                  <w:vAlign w:val="center"/>
                </w:tcPr>
                <w:p w14:paraId="5FA47F1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植被亚型</w:t>
                  </w:r>
                </w:p>
              </w:tc>
              <w:tc>
                <w:tcPr>
                  <w:tcW w:w="2617" w:type="dxa"/>
                  <w:shd w:val="clear" w:color="auto" w:fill="auto"/>
                  <w:noWrap w:val="0"/>
                  <w:vAlign w:val="center"/>
                </w:tcPr>
                <w:p w14:paraId="19B47B9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群落类型（群系）</w:t>
                  </w:r>
                </w:p>
              </w:tc>
            </w:tr>
            <w:tr w14:paraId="36B9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62" w:type="dxa"/>
                  <w:vMerge w:val="restart"/>
                  <w:shd w:val="clear" w:color="auto" w:fill="auto"/>
                  <w:noWrap w:val="0"/>
                  <w:vAlign w:val="center"/>
                </w:tcPr>
                <w:p w14:paraId="5529E39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自然植被</w:t>
                  </w:r>
                </w:p>
              </w:tc>
              <w:tc>
                <w:tcPr>
                  <w:tcW w:w="1722" w:type="dxa"/>
                  <w:shd w:val="clear" w:color="auto" w:fill="auto"/>
                  <w:noWrap w:val="0"/>
                  <w:vAlign w:val="center"/>
                </w:tcPr>
                <w:p w14:paraId="6BEBEB59">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暖温性针叶林</w:t>
                  </w:r>
                </w:p>
              </w:tc>
              <w:tc>
                <w:tcPr>
                  <w:tcW w:w="2396" w:type="dxa"/>
                  <w:shd w:val="clear" w:color="auto" w:fill="auto"/>
                  <w:noWrap w:val="0"/>
                  <w:vAlign w:val="center"/>
                </w:tcPr>
                <w:p w14:paraId="5D9C79E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暖温性针叶林</w:t>
                  </w:r>
                </w:p>
              </w:tc>
              <w:tc>
                <w:tcPr>
                  <w:tcW w:w="2617" w:type="dxa"/>
                  <w:shd w:val="clear" w:color="auto" w:fill="auto"/>
                  <w:noWrap w:val="0"/>
                  <w:vAlign w:val="center"/>
                </w:tcPr>
                <w:p w14:paraId="440B287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云南松</w:t>
                  </w:r>
                  <w:r>
                    <w:rPr>
                      <w:rFonts w:hint="default" w:ascii="Times New Roman" w:hAnsi="Times New Roman" w:eastAsia="宋体" w:cs="Times New Roman"/>
                      <w:color w:val="auto"/>
                      <w:sz w:val="21"/>
                      <w:szCs w:val="21"/>
                      <w:highlight w:val="none"/>
                      <w:lang w:val="en-US" w:eastAsia="zh-CN"/>
                    </w:rPr>
                    <w:t>林</w:t>
                  </w:r>
                </w:p>
              </w:tc>
            </w:tr>
            <w:tr w14:paraId="0A7A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62" w:type="dxa"/>
                  <w:vMerge w:val="continue"/>
                  <w:shd w:val="clear" w:color="auto" w:fill="auto"/>
                  <w:noWrap w:val="0"/>
                  <w:vAlign w:val="center"/>
                </w:tcPr>
                <w:p w14:paraId="55A9F41E">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22" w:type="dxa"/>
                  <w:shd w:val="clear" w:color="auto" w:fill="auto"/>
                  <w:noWrap w:val="0"/>
                  <w:vAlign w:val="center"/>
                </w:tcPr>
                <w:p w14:paraId="532F4AD4">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落叶阔叶和针叶混交林</w:t>
                  </w:r>
                </w:p>
              </w:tc>
              <w:tc>
                <w:tcPr>
                  <w:tcW w:w="2396" w:type="dxa"/>
                  <w:shd w:val="clear" w:color="auto" w:fill="auto"/>
                  <w:noWrap w:val="0"/>
                  <w:vAlign w:val="center"/>
                </w:tcPr>
                <w:p w14:paraId="31FDE77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落叶阔叶与针叶混交林</w:t>
                  </w:r>
                </w:p>
              </w:tc>
              <w:tc>
                <w:tcPr>
                  <w:tcW w:w="2617" w:type="dxa"/>
                  <w:shd w:val="clear" w:color="auto" w:fill="auto"/>
                  <w:noWrap w:val="0"/>
                  <w:vAlign w:val="center"/>
                </w:tcPr>
                <w:p w14:paraId="6EF034D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云南松、桉树、滇石栎</w:t>
                  </w:r>
                  <w:r>
                    <w:rPr>
                      <w:rFonts w:hint="default" w:ascii="Times New Roman" w:hAnsi="Times New Roman" w:eastAsia="宋体" w:cs="Times New Roman"/>
                      <w:color w:val="auto"/>
                      <w:kern w:val="0"/>
                      <w:sz w:val="21"/>
                      <w:szCs w:val="21"/>
                      <w:highlight w:val="none"/>
                      <w:lang w:val="en-US" w:eastAsia="zh-CN"/>
                    </w:rPr>
                    <w:t>林</w:t>
                  </w:r>
                </w:p>
              </w:tc>
            </w:tr>
            <w:tr w14:paraId="6CA2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62" w:type="dxa"/>
                  <w:vMerge w:val="continue"/>
                  <w:shd w:val="clear" w:color="auto" w:fill="auto"/>
                  <w:noWrap w:val="0"/>
                  <w:vAlign w:val="center"/>
                </w:tcPr>
                <w:p w14:paraId="301D506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22" w:type="dxa"/>
                  <w:shd w:val="clear" w:color="auto" w:fill="auto"/>
                  <w:noWrap w:val="0"/>
                  <w:vAlign w:val="center"/>
                </w:tcPr>
                <w:p w14:paraId="3820C17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山地灌木草丛</w:t>
                  </w:r>
                </w:p>
              </w:tc>
              <w:tc>
                <w:tcPr>
                  <w:tcW w:w="2396" w:type="dxa"/>
                  <w:shd w:val="clear" w:color="auto" w:fill="auto"/>
                  <w:noWrap w:val="0"/>
                  <w:vAlign w:val="center"/>
                </w:tcPr>
                <w:p w14:paraId="0922C1C2">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暖温性灌丛</w:t>
                  </w:r>
                </w:p>
              </w:tc>
              <w:tc>
                <w:tcPr>
                  <w:tcW w:w="2617" w:type="dxa"/>
                  <w:shd w:val="clear" w:color="auto" w:fill="auto"/>
                  <w:noWrap w:val="0"/>
                  <w:vAlign w:val="center"/>
                </w:tcPr>
                <w:p w14:paraId="042ABB54">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锥连栎、滇榄仁灌丛</w:t>
                  </w:r>
                </w:p>
              </w:tc>
            </w:tr>
            <w:tr w14:paraId="4672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62" w:type="dxa"/>
                  <w:vMerge w:val="continue"/>
                  <w:shd w:val="clear" w:color="auto" w:fill="auto"/>
                  <w:noWrap w:val="0"/>
                  <w:vAlign w:val="center"/>
                </w:tcPr>
                <w:p w14:paraId="3E53C841">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22" w:type="dxa"/>
                  <w:shd w:val="clear" w:color="auto" w:fill="auto"/>
                  <w:noWrap w:val="0"/>
                  <w:vAlign w:val="center"/>
                </w:tcPr>
                <w:p w14:paraId="06DD179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稀树灌木草丛</w:t>
                  </w:r>
                </w:p>
              </w:tc>
              <w:tc>
                <w:tcPr>
                  <w:tcW w:w="2396" w:type="dxa"/>
                  <w:shd w:val="clear" w:color="auto" w:fill="auto"/>
                  <w:noWrap w:val="0"/>
                  <w:vAlign w:val="center"/>
                </w:tcPr>
                <w:p w14:paraId="4CBD94E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暖温性稀树灌木草丛</w:t>
                  </w:r>
                </w:p>
              </w:tc>
              <w:tc>
                <w:tcPr>
                  <w:tcW w:w="2617" w:type="dxa"/>
                  <w:shd w:val="clear" w:color="auto" w:fill="auto"/>
                  <w:noWrap w:val="0"/>
                  <w:vAlign w:val="center"/>
                </w:tcPr>
                <w:p w14:paraId="156CE4E6">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6"/>
                      <w:position w:val="4"/>
                      <w:sz w:val="21"/>
                      <w:szCs w:val="21"/>
                      <w:highlight w:val="none"/>
                    </w:rPr>
                    <w:t>黄茅、黄背草群落</w:t>
                  </w:r>
                </w:p>
              </w:tc>
            </w:tr>
            <w:tr w14:paraId="0FE5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62" w:type="dxa"/>
                  <w:shd w:val="clear" w:color="auto" w:fill="auto"/>
                  <w:noWrap w:val="0"/>
                  <w:vAlign w:val="center"/>
                </w:tcPr>
                <w:p w14:paraId="3413B5A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人工植被</w:t>
                  </w:r>
                </w:p>
              </w:tc>
              <w:tc>
                <w:tcPr>
                  <w:tcW w:w="6735" w:type="dxa"/>
                  <w:gridSpan w:val="3"/>
                  <w:shd w:val="clear" w:color="auto" w:fill="auto"/>
                  <w:noWrap w:val="0"/>
                  <w:vAlign w:val="center"/>
                </w:tcPr>
                <w:p w14:paraId="041F3D3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旱地植被</w:t>
                  </w:r>
                </w:p>
              </w:tc>
            </w:tr>
            <w:bookmarkEnd w:id="114"/>
          </w:tbl>
          <w:p w14:paraId="2CED1CFC">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5.4.2</w:t>
            </w:r>
            <w:r>
              <w:rPr>
                <w:rFonts w:hint="default" w:ascii="Times New Roman" w:hAnsi="Times New Roman" w:eastAsia="宋体" w:cs="Times New Roman"/>
                <w:b/>
                <w:bCs/>
                <w:color w:val="auto"/>
                <w:sz w:val="24"/>
                <w:szCs w:val="24"/>
                <w:highlight w:val="none"/>
              </w:rPr>
              <w:t>评价区群落物种组成、结构特征</w:t>
            </w:r>
          </w:p>
          <w:p w14:paraId="704F01BB">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①暖温性针叶林</w:t>
            </w:r>
          </w:p>
          <w:p w14:paraId="5A8411D7">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评价区的暖温性针叶林分布海拔</w:t>
            </w:r>
            <w:r>
              <w:rPr>
                <w:rFonts w:hint="default" w:ascii="Times New Roman" w:hAnsi="Times New Roman" w:eastAsia="宋体" w:cs="Times New Roman"/>
                <w:color w:val="auto"/>
                <w:sz w:val="24"/>
                <w:highlight w:val="none"/>
                <w:lang w:val="en-US" w:eastAsia="zh-CN"/>
              </w:rPr>
              <w:t>2182-2290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根据优势进一步划分为云南松林一个群系</w:t>
            </w:r>
            <w:r>
              <w:rPr>
                <w:rFonts w:hint="default" w:ascii="Times New Roman" w:hAnsi="Times New Roman" w:eastAsia="宋体" w:cs="Times New Roman"/>
                <w:color w:val="auto"/>
                <w:sz w:val="24"/>
                <w:highlight w:val="none"/>
              </w:rPr>
              <w:t>。</w:t>
            </w:r>
          </w:p>
          <w:p w14:paraId="32BBE354">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highlight w:val="none"/>
              </w:rPr>
              <w:t>云南松林</w:t>
            </w:r>
          </w:p>
          <w:p w14:paraId="4D1F9783">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云南松林是评价区最主要的森林植被类型，以云南松</w:t>
            </w:r>
            <w:r>
              <w:rPr>
                <w:rFonts w:hint="default" w:ascii="Times New Roman" w:hAnsi="Times New Roman" w:eastAsia="宋体" w:cs="Times New Roman"/>
                <w:i/>
                <w:iCs/>
                <w:color w:val="auto"/>
                <w:sz w:val="24"/>
                <w:szCs w:val="24"/>
                <w:highlight w:val="none"/>
              </w:rPr>
              <w:t>Pinus yunnanensis</w:t>
            </w:r>
            <w:r>
              <w:rPr>
                <w:rFonts w:hint="default" w:ascii="Times New Roman" w:hAnsi="Times New Roman" w:eastAsia="宋体" w:cs="Times New Roman"/>
                <w:color w:val="auto"/>
                <w:sz w:val="24"/>
                <w:szCs w:val="24"/>
                <w:highlight w:val="none"/>
              </w:rPr>
              <w:t>为优势种，郁闭度约0.7</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，树高</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m，平均胸径15-30cm，乔木层偶见伴生有其他树种，如槲栎</w:t>
            </w:r>
            <w:r>
              <w:rPr>
                <w:rStyle w:val="55"/>
                <w:rFonts w:hint="default" w:ascii="Times New Roman" w:hAnsi="Times New Roman" w:eastAsia="宋体" w:cs="Times New Roman"/>
                <w:color w:val="auto"/>
                <w:sz w:val="24"/>
                <w:szCs w:val="24"/>
                <w:highlight w:val="none"/>
              </w:rPr>
              <w:t>Quercus aliena Blume</w:t>
            </w:r>
            <w:r>
              <w:rPr>
                <w:rFonts w:hint="default" w:ascii="Times New Roman" w:hAnsi="Times New Roman" w:eastAsia="宋体" w:cs="Times New Roman"/>
                <w:color w:val="auto"/>
                <w:sz w:val="24"/>
                <w:szCs w:val="24"/>
                <w:highlight w:val="none"/>
              </w:rPr>
              <w:t>、麻栎</w:t>
            </w:r>
            <w:r>
              <w:rPr>
                <w:rStyle w:val="55"/>
                <w:rFonts w:hint="default" w:ascii="Times New Roman" w:hAnsi="Times New Roman" w:eastAsia="宋体" w:cs="Times New Roman"/>
                <w:color w:val="auto"/>
                <w:sz w:val="24"/>
                <w:szCs w:val="24"/>
                <w:highlight w:val="none"/>
              </w:rPr>
              <w:t>Quercus acutissima Carruth</w:t>
            </w:r>
            <w:r>
              <w:rPr>
                <w:rFonts w:hint="default" w:ascii="Times New Roman" w:hAnsi="Times New Roman" w:eastAsia="宋体" w:cs="Times New Roman"/>
                <w:color w:val="auto"/>
                <w:sz w:val="24"/>
                <w:szCs w:val="24"/>
                <w:highlight w:val="none"/>
              </w:rPr>
              <w:t>等，高10-12m，盖度10%左右，随机分布在样地中。林下有栓皮栎</w:t>
            </w:r>
            <w:r>
              <w:rPr>
                <w:rFonts w:hint="default" w:ascii="Times New Roman" w:hAnsi="Times New Roman" w:eastAsia="宋体" w:cs="Times New Roman"/>
                <w:i/>
                <w:iCs/>
                <w:color w:val="auto"/>
                <w:sz w:val="24"/>
                <w:szCs w:val="24"/>
                <w:highlight w:val="none"/>
              </w:rPr>
              <w:t>Quercus variabilis Blume</w:t>
            </w:r>
            <w:r>
              <w:rPr>
                <w:rFonts w:hint="default" w:ascii="Times New Roman" w:hAnsi="Times New Roman" w:eastAsia="宋体" w:cs="Times New Roman"/>
                <w:color w:val="auto"/>
                <w:sz w:val="24"/>
                <w:szCs w:val="24"/>
                <w:highlight w:val="none"/>
              </w:rPr>
              <w:t>、清香木</w:t>
            </w:r>
            <w:r>
              <w:rPr>
                <w:rStyle w:val="55"/>
                <w:rFonts w:hint="default" w:ascii="Times New Roman" w:hAnsi="Times New Roman" w:eastAsia="宋体" w:cs="Times New Roman"/>
                <w:color w:val="auto"/>
                <w:sz w:val="24"/>
                <w:szCs w:val="24"/>
                <w:highlight w:val="none"/>
              </w:rPr>
              <w:t>Pistacia weinmannifolia</w:t>
            </w:r>
            <w:r>
              <w:rPr>
                <w:rFonts w:hint="default" w:ascii="Times New Roman" w:hAnsi="Times New Roman" w:eastAsia="宋体" w:cs="Times New Roman"/>
                <w:color w:val="auto"/>
                <w:sz w:val="24"/>
                <w:szCs w:val="24"/>
                <w:highlight w:val="none"/>
              </w:rPr>
              <w:t>、茶藨子</w:t>
            </w:r>
            <w:r>
              <w:rPr>
                <w:rFonts w:hint="default" w:ascii="Times New Roman" w:hAnsi="Times New Roman" w:eastAsia="宋体" w:cs="Times New Roman"/>
                <w:i/>
                <w:iCs/>
                <w:color w:val="auto"/>
                <w:sz w:val="24"/>
                <w:szCs w:val="24"/>
                <w:highlight w:val="none"/>
              </w:rPr>
              <w:t>Grossulariaceae DC</w:t>
            </w:r>
            <w:r>
              <w:rPr>
                <w:rFonts w:hint="default" w:ascii="Times New Roman" w:hAnsi="Times New Roman" w:eastAsia="宋体" w:cs="Times New Roman"/>
                <w:color w:val="auto"/>
                <w:sz w:val="24"/>
                <w:szCs w:val="24"/>
                <w:highlight w:val="none"/>
              </w:rPr>
              <w:t>、云南松幼苗、西南栒子</w:t>
            </w:r>
            <w:r>
              <w:rPr>
                <w:rFonts w:hint="default" w:ascii="Times New Roman" w:hAnsi="Times New Roman" w:eastAsia="宋体" w:cs="Times New Roman"/>
                <w:i/>
                <w:iCs/>
                <w:color w:val="auto"/>
                <w:sz w:val="24"/>
                <w:szCs w:val="24"/>
                <w:highlight w:val="none"/>
              </w:rPr>
              <w:t>Cotoneaster franchetii</w:t>
            </w:r>
            <w:r>
              <w:rPr>
                <w:rFonts w:hint="default" w:ascii="Times New Roman" w:hAnsi="Times New Roman" w:eastAsia="宋体" w:cs="Times New Roman"/>
                <w:color w:val="auto"/>
                <w:sz w:val="24"/>
                <w:szCs w:val="24"/>
                <w:highlight w:val="none"/>
              </w:rPr>
              <w:t>等植物，高1~3m，盖度30%。</w:t>
            </w:r>
          </w:p>
          <w:p w14:paraId="3970E128">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由于郁闭度较高，草本植物不丰富，草本层高0.1-0.6m，盖度</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20%，主要有刺芒、野古草</w:t>
            </w:r>
            <w:r>
              <w:rPr>
                <w:rStyle w:val="55"/>
                <w:rFonts w:hint="default" w:ascii="Times New Roman" w:hAnsi="Times New Roman" w:eastAsia="宋体" w:cs="Times New Roman"/>
                <w:color w:val="auto"/>
                <w:sz w:val="24"/>
                <w:szCs w:val="24"/>
                <w:highlight w:val="none"/>
              </w:rPr>
              <w:t>Arundinella anomala</w:t>
            </w:r>
            <w:r>
              <w:rPr>
                <w:rFonts w:hint="default" w:ascii="Times New Roman" w:hAnsi="Times New Roman" w:eastAsia="宋体" w:cs="Times New Roman"/>
                <w:color w:val="auto"/>
                <w:sz w:val="24"/>
                <w:szCs w:val="24"/>
                <w:highlight w:val="none"/>
              </w:rPr>
              <w:t>、扭黄茅</w:t>
            </w:r>
            <w:r>
              <w:rPr>
                <w:rFonts w:hint="default" w:ascii="Times New Roman" w:hAnsi="Times New Roman" w:eastAsia="宋体" w:cs="Times New Roman"/>
                <w:i/>
                <w:iCs/>
                <w:color w:val="auto"/>
                <w:sz w:val="24"/>
                <w:szCs w:val="24"/>
                <w:highlight w:val="none"/>
              </w:rPr>
              <w:t>Gramineae</w:t>
            </w:r>
            <w:r>
              <w:rPr>
                <w:rFonts w:hint="default" w:ascii="Times New Roman" w:hAnsi="Times New Roman" w:eastAsia="宋体" w:cs="Times New Roman"/>
                <w:color w:val="auto"/>
                <w:sz w:val="24"/>
                <w:szCs w:val="24"/>
                <w:highlight w:val="none"/>
              </w:rPr>
              <w:t>、毛蕨</w:t>
            </w:r>
            <w:r>
              <w:rPr>
                <w:rFonts w:hint="default" w:ascii="Times New Roman" w:hAnsi="Times New Roman" w:eastAsia="宋体" w:cs="Times New Roman"/>
                <w:i/>
                <w:iCs/>
                <w:color w:val="auto"/>
                <w:sz w:val="24"/>
                <w:szCs w:val="24"/>
                <w:highlight w:val="none"/>
              </w:rPr>
              <w:t>Cyclosorus interruptus (Willd.) H. Ito</w:t>
            </w:r>
            <w:r>
              <w:rPr>
                <w:rFonts w:hint="default" w:ascii="Times New Roman" w:hAnsi="Times New Roman" w:eastAsia="宋体" w:cs="Times New Roman"/>
                <w:color w:val="auto"/>
                <w:sz w:val="24"/>
                <w:szCs w:val="24"/>
                <w:highlight w:val="none"/>
              </w:rPr>
              <w:t>、牡蒿</w:t>
            </w:r>
            <w:r>
              <w:rPr>
                <w:rFonts w:hint="default" w:ascii="Times New Roman" w:hAnsi="Times New Roman" w:eastAsia="宋体" w:cs="Times New Roman"/>
                <w:i/>
                <w:iCs/>
                <w:color w:val="auto"/>
                <w:sz w:val="24"/>
                <w:szCs w:val="24"/>
                <w:highlight w:val="none"/>
              </w:rPr>
              <w:t>Artemisia japonica Thunb</w:t>
            </w:r>
            <w:r>
              <w:rPr>
                <w:rFonts w:hint="default" w:ascii="Times New Roman" w:hAnsi="Times New Roman" w:eastAsia="宋体" w:cs="Times New Roman"/>
                <w:color w:val="auto"/>
                <w:sz w:val="24"/>
                <w:szCs w:val="24"/>
                <w:highlight w:val="none"/>
              </w:rPr>
              <w:t>、兔儿风</w:t>
            </w:r>
            <w:r>
              <w:rPr>
                <w:rFonts w:hint="default" w:ascii="Times New Roman" w:hAnsi="Times New Roman" w:eastAsia="宋体" w:cs="Times New Roman"/>
                <w:i/>
                <w:iCs/>
                <w:color w:val="auto"/>
                <w:sz w:val="24"/>
                <w:szCs w:val="24"/>
                <w:highlight w:val="none"/>
              </w:rPr>
              <w:t>Ainsliaea glabra Hemsl.</w:t>
            </w:r>
            <w:r>
              <w:rPr>
                <w:rFonts w:hint="default" w:ascii="Times New Roman" w:hAnsi="Times New Roman" w:eastAsia="宋体" w:cs="Times New Roman"/>
                <w:color w:val="auto"/>
                <w:sz w:val="24"/>
                <w:szCs w:val="24"/>
                <w:highlight w:val="none"/>
              </w:rPr>
              <w:t>等，其余偶见植物还有千里光</w:t>
            </w:r>
            <w:r>
              <w:rPr>
                <w:rFonts w:hint="default" w:ascii="Times New Roman" w:hAnsi="Times New Roman" w:eastAsia="宋体" w:cs="Times New Roman"/>
                <w:i/>
                <w:iCs/>
                <w:color w:val="auto"/>
                <w:sz w:val="24"/>
                <w:szCs w:val="24"/>
                <w:highlight w:val="none"/>
              </w:rPr>
              <w:t>Senecio scandens</w:t>
            </w:r>
            <w:r>
              <w:rPr>
                <w:rFonts w:hint="default" w:ascii="Times New Roman" w:hAnsi="Times New Roman" w:eastAsia="宋体" w:cs="Times New Roman"/>
                <w:color w:val="auto"/>
                <w:sz w:val="24"/>
                <w:szCs w:val="24"/>
                <w:highlight w:val="none"/>
              </w:rPr>
              <w:t xml:space="preserve"> Buch.-Ham. ex D. Don、鱼眼草</w:t>
            </w:r>
            <w:r>
              <w:rPr>
                <w:rFonts w:hint="default" w:ascii="Times New Roman" w:hAnsi="Times New Roman" w:eastAsia="宋体" w:cs="Times New Roman"/>
                <w:i/>
                <w:iCs/>
                <w:color w:val="auto"/>
                <w:sz w:val="24"/>
                <w:szCs w:val="24"/>
                <w:highlight w:val="none"/>
              </w:rPr>
              <w:t>Dichrocephala integrifolia</w:t>
            </w:r>
            <w:r>
              <w:rPr>
                <w:rFonts w:hint="default" w:ascii="Times New Roman" w:hAnsi="Times New Roman" w:eastAsia="宋体" w:cs="Times New Roman"/>
                <w:color w:val="auto"/>
                <w:sz w:val="24"/>
                <w:szCs w:val="24"/>
                <w:highlight w:val="none"/>
              </w:rPr>
              <w:t>、五月艾</w:t>
            </w:r>
            <w:r>
              <w:rPr>
                <w:rStyle w:val="55"/>
                <w:rFonts w:hint="default" w:ascii="Times New Roman" w:hAnsi="Times New Roman" w:eastAsia="宋体" w:cs="Times New Roman"/>
                <w:color w:val="auto"/>
                <w:sz w:val="24"/>
                <w:szCs w:val="24"/>
                <w:highlight w:val="none"/>
              </w:rPr>
              <w:t>Artemisia indicaWilld.</w:t>
            </w:r>
            <w:r>
              <w:rPr>
                <w:rFonts w:hint="default" w:ascii="Times New Roman" w:hAnsi="Times New Roman" w:eastAsia="宋体" w:cs="Times New Roman"/>
                <w:color w:val="auto"/>
                <w:sz w:val="24"/>
                <w:szCs w:val="24"/>
                <w:highlight w:val="none"/>
              </w:rPr>
              <w:t>等，盖度在4-7%。</w:t>
            </w:r>
          </w:p>
          <w:p w14:paraId="5B307589">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根据调查，</w:t>
            </w:r>
            <w:r>
              <w:rPr>
                <w:rFonts w:hint="default" w:ascii="Times New Roman" w:hAnsi="Times New Roman" w:eastAsia="宋体" w:cs="Times New Roman"/>
                <w:color w:val="auto"/>
                <w:sz w:val="24"/>
                <w:szCs w:val="24"/>
                <w:highlight w:val="none"/>
              </w:rPr>
              <w:t>附近云南松林</w:t>
            </w:r>
            <w:r>
              <w:rPr>
                <w:rFonts w:hint="default" w:ascii="Times New Roman" w:hAnsi="Times New Roman" w:eastAsia="宋体" w:cs="Times New Roman"/>
                <w:color w:val="auto"/>
                <w:sz w:val="24"/>
                <w:szCs w:val="24"/>
                <w:highlight w:val="none"/>
                <w:lang w:val="en-US" w:eastAsia="zh-CN"/>
              </w:rPr>
              <w:t>由于</w:t>
            </w:r>
            <w:r>
              <w:rPr>
                <w:rFonts w:hint="default" w:ascii="Times New Roman" w:hAnsi="Times New Roman" w:eastAsia="宋体" w:cs="Times New Roman"/>
                <w:color w:val="auto"/>
                <w:sz w:val="24"/>
                <w:szCs w:val="24"/>
                <w:highlight w:val="none"/>
              </w:rPr>
              <w:t>受到人为干扰，林地内生物多样性不丰富、抵御外界破坏的能力不强，一旦遭到破坏不易恢复。</w:t>
            </w:r>
          </w:p>
          <w:p w14:paraId="55F53234">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rPr>
              <w:t>②落叶阔叶和针叶混交林</w:t>
            </w:r>
          </w:p>
          <w:p w14:paraId="564F1F19">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调查区</w:t>
            </w:r>
            <w:r>
              <w:rPr>
                <w:rFonts w:hint="default" w:ascii="Times New Roman" w:hAnsi="Times New Roman" w:eastAsia="宋体" w:cs="Times New Roman"/>
                <w:b w:val="0"/>
                <w:bCs w:val="0"/>
                <w:color w:val="auto"/>
                <w:kern w:val="0"/>
                <w:sz w:val="24"/>
                <w:szCs w:val="24"/>
                <w:highlight w:val="none"/>
              </w:rPr>
              <w:t>落叶阔叶和针叶混交林</w:t>
            </w:r>
            <w:r>
              <w:rPr>
                <w:rFonts w:hint="default" w:ascii="Times New Roman" w:hAnsi="Times New Roman" w:eastAsia="宋体" w:cs="Times New Roman"/>
                <w:color w:val="auto"/>
                <w:kern w:val="0"/>
                <w:sz w:val="24"/>
                <w:szCs w:val="24"/>
                <w:highlight w:val="none"/>
              </w:rPr>
              <w:t>以云南松</w:t>
            </w:r>
            <w:r>
              <w:rPr>
                <w:rFonts w:hint="default" w:ascii="Times New Roman" w:hAnsi="Times New Roman" w:eastAsia="宋体" w:cs="Times New Roman"/>
                <w:i/>
                <w:iCs/>
                <w:color w:val="auto"/>
                <w:sz w:val="24"/>
                <w:szCs w:val="24"/>
                <w:highlight w:val="none"/>
              </w:rPr>
              <w:t>Pinus yunnanensis</w:t>
            </w:r>
            <w:r>
              <w:rPr>
                <w:rFonts w:hint="default" w:ascii="Times New Roman" w:hAnsi="Times New Roman" w:eastAsia="宋体" w:cs="Times New Roman"/>
                <w:color w:val="auto"/>
                <w:kern w:val="0"/>
                <w:sz w:val="24"/>
                <w:szCs w:val="24"/>
                <w:highlight w:val="none"/>
              </w:rPr>
              <w:t>、桉树</w:t>
            </w:r>
            <w:r>
              <w:rPr>
                <w:rFonts w:hint="default" w:ascii="Times New Roman" w:hAnsi="Times New Roman" w:eastAsia="宋体" w:cs="Times New Roman"/>
                <w:i/>
                <w:iCs/>
                <w:color w:val="auto"/>
                <w:sz w:val="24"/>
                <w:szCs w:val="24"/>
                <w:highlight w:val="none"/>
              </w:rPr>
              <w:t>Eucalyptus</w:t>
            </w:r>
            <w:r>
              <w:rPr>
                <w:rFonts w:hint="default" w:ascii="Times New Roman" w:hAnsi="Times New Roman" w:eastAsia="宋体" w:cs="Times New Roman"/>
                <w:color w:val="auto"/>
                <w:kern w:val="0"/>
                <w:sz w:val="24"/>
                <w:szCs w:val="24"/>
                <w:highlight w:val="none"/>
              </w:rPr>
              <w:t>、滇石栎</w:t>
            </w:r>
            <w:r>
              <w:rPr>
                <w:rStyle w:val="55"/>
                <w:rFonts w:hint="default" w:ascii="Times New Roman" w:hAnsi="Times New Roman" w:eastAsia="宋体" w:cs="Times New Roman"/>
                <w:color w:val="auto"/>
                <w:sz w:val="24"/>
                <w:szCs w:val="24"/>
                <w:highlight w:val="none"/>
              </w:rPr>
              <w:t>Lithocarpus dealbatus Rehd.</w:t>
            </w:r>
            <w:r>
              <w:rPr>
                <w:rFonts w:hint="default" w:ascii="Times New Roman" w:hAnsi="Times New Roman" w:eastAsia="宋体" w:cs="Times New Roman"/>
                <w:color w:val="auto"/>
                <w:kern w:val="0"/>
                <w:sz w:val="24"/>
                <w:szCs w:val="24"/>
                <w:highlight w:val="none"/>
              </w:rPr>
              <w:t>为主。</w:t>
            </w:r>
          </w:p>
          <w:p w14:paraId="0B69AA5F">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主要分布在海拔高度2</w:t>
            </w:r>
            <w:r>
              <w:rPr>
                <w:rFonts w:hint="default" w:ascii="Times New Roman" w:hAnsi="Times New Roman" w:eastAsia="宋体" w:cs="Times New Roman"/>
                <w:color w:val="auto"/>
                <w:sz w:val="24"/>
                <w:szCs w:val="24"/>
                <w:highlight w:val="none"/>
                <w:lang w:val="en-US" w:eastAsia="zh-CN"/>
              </w:rPr>
              <w:t>185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00m 的坡耕地以上的山坡。乔木上层高7-14m，层盖度65-70%。种类组成上除了桉树、栎属占优势外，还常有滇石栎</w:t>
            </w:r>
            <w:r>
              <w:rPr>
                <w:rStyle w:val="55"/>
                <w:rFonts w:hint="default" w:ascii="Times New Roman" w:hAnsi="Times New Roman" w:eastAsia="宋体" w:cs="Times New Roman"/>
                <w:color w:val="auto"/>
                <w:sz w:val="24"/>
                <w:szCs w:val="24"/>
                <w:highlight w:val="none"/>
              </w:rPr>
              <w:t>Lithocarpus dealbatus Rehd.</w:t>
            </w:r>
            <w:r>
              <w:rPr>
                <w:rFonts w:hint="default" w:ascii="Times New Roman" w:hAnsi="Times New Roman" w:eastAsia="宋体" w:cs="Times New Roman"/>
                <w:color w:val="auto"/>
                <w:sz w:val="24"/>
                <w:szCs w:val="24"/>
                <w:highlight w:val="none"/>
              </w:rPr>
              <w:t>、银木荷</w:t>
            </w:r>
            <w:r>
              <w:rPr>
                <w:rFonts w:hint="default" w:ascii="Times New Roman" w:hAnsi="Times New Roman" w:eastAsia="宋体" w:cs="Times New Roman"/>
                <w:i/>
                <w:iCs/>
                <w:color w:val="auto"/>
                <w:sz w:val="24"/>
                <w:szCs w:val="24"/>
                <w:highlight w:val="none"/>
              </w:rPr>
              <w:t>Schima argentea E. Pritz. ex Diels</w:t>
            </w:r>
            <w:r>
              <w:rPr>
                <w:rFonts w:hint="default" w:ascii="Times New Roman" w:hAnsi="Times New Roman" w:eastAsia="宋体" w:cs="Times New Roman"/>
                <w:color w:val="auto"/>
                <w:sz w:val="24"/>
                <w:szCs w:val="24"/>
                <w:highlight w:val="none"/>
              </w:rPr>
              <w:t>.、垂珠花</w:t>
            </w:r>
            <w:r>
              <w:rPr>
                <w:rStyle w:val="55"/>
                <w:rFonts w:hint="default" w:ascii="Times New Roman" w:hAnsi="Times New Roman" w:eastAsia="宋体" w:cs="Times New Roman"/>
                <w:color w:val="auto"/>
                <w:sz w:val="24"/>
                <w:szCs w:val="24"/>
                <w:highlight w:val="none"/>
              </w:rPr>
              <w:t>Styrax dasyanthus Perk.</w:t>
            </w:r>
            <w:r>
              <w:rPr>
                <w:rFonts w:hint="default" w:ascii="Times New Roman" w:hAnsi="Times New Roman" w:eastAsia="宋体" w:cs="Times New Roman"/>
                <w:color w:val="auto"/>
                <w:sz w:val="24"/>
                <w:szCs w:val="24"/>
                <w:highlight w:val="none"/>
              </w:rPr>
              <w:t>、雷公鹅耳枥</w:t>
            </w:r>
            <w:r>
              <w:rPr>
                <w:rStyle w:val="55"/>
                <w:rFonts w:hint="default" w:ascii="Times New Roman" w:hAnsi="Times New Roman" w:eastAsia="宋体" w:cs="Times New Roman"/>
                <w:color w:val="auto"/>
                <w:sz w:val="24"/>
                <w:szCs w:val="24"/>
                <w:highlight w:val="none"/>
              </w:rPr>
              <w:t>Carpinus viminea Lindl</w:t>
            </w:r>
            <w:r>
              <w:rPr>
                <w:rFonts w:hint="default" w:ascii="Times New Roman" w:hAnsi="Times New Roman" w:eastAsia="宋体" w:cs="Times New Roman"/>
                <w:color w:val="auto"/>
                <w:sz w:val="24"/>
                <w:szCs w:val="24"/>
                <w:highlight w:val="none"/>
              </w:rPr>
              <w:t>等。乔木下层高约1-2m，层盖度40-60%。主要种类有山黄麻</w:t>
            </w:r>
            <w:r>
              <w:rPr>
                <w:rStyle w:val="55"/>
                <w:rFonts w:hint="default" w:ascii="Times New Roman" w:hAnsi="Times New Roman" w:eastAsia="宋体" w:cs="Times New Roman"/>
                <w:color w:val="auto"/>
                <w:sz w:val="24"/>
                <w:szCs w:val="24"/>
                <w:highlight w:val="none"/>
              </w:rPr>
              <w:t>Trema tomentosa(Roxb.)Hara</w:t>
            </w:r>
            <w:r>
              <w:rPr>
                <w:rFonts w:hint="default" w:ascii="Times New Roman" w:hAnsi="Times New Roman" w:eastAsia="宋体" w:cs="Times New Roman"/>
                <w:color w:val="auto"/>
                <w:sz w:val="24"/>
                <w:szCs w:val="24"/>
                <w:highlight w:val="none"/>
              </w:rPr>
              <w:t>、粉背黄栌</w:t>
            </w:r>
            <w:r>
              <w:rPr>
                <w:rFonts w:hint="default" w:ascii="Times New Roman" w:hAnsi="Times New Roman" w:eastAsia="宋体" w:cs="Times New Roman"/>
                <w:i/>
                <w:iCs/>
                <w:color w:val="auto"/>
                <w:sz w:val="24"/>
                <w:szCs w:val="24"/>
                <w:highlight w:val="none"/>
              </w:rPr>
              <w:t>Cotinus coggygria var. glaucophylla</w:t>
            </w:r>
            <w:r>
              <w:rPr>
                <w:rFonts w:hint="default" w:ascii="Times New Roman" w:hAnsi="Times New Roman" w:eastAsia="宋体" w:cs="Times New Roman"/>
                <w:color w:val="auto"/>
                <w:sz w:val="24"/>
                <w:szCs w:val="24"/>
                <w:highlight w:val="none"/>
              </w:rPr>
              <w:t>、黄茅</w:t>
            </w:r>
            <w:r>
              <w:rPr>
                <w:rFonts w:hint="default" w:ascii="Times New Roman" w:hAnsi="Times New Roman" w:eastAsia="宋体" w:cs="Times New Roman"/>
                <w:i/>
                <w:iCs/>
                <w:color w:val="auto"/>
                <w:sz w:val="24"/>
                <w:szCs w:val="24"/>
                <w:highlight w:val="none"/>
              </w:rPr>
              <w:t>Heteropogon contortus</w:t>
            </w:r>
            <w:r>
              <w:rPr>
                <w:rFonts w:hint="default" w:ascii="Times New Roman" w:hAnsi="Times New Roman" w:eastAsia="宋体" w:cs="Times New Roman"/>
                <w:color w:val="auto"/>
                <w:sz w:val="24"/>
                <w:szCs w:val="24"/>
                <w:highlight w:val="none"/>
              </w:rPr>
              <w:t>等，种类较多。</w:t>
            </w:r>
          </w:p>
          <w:p w14:paraId="76A67D72">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③暖温性灌丛</w:t>
            </w:r>
          </w:p>
          <w:p w14:paraId="563EBED6">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评价区灌丛主要为</w:t>
            </w:r>
            <w:r>
              <w:rPr>
                <w:rFonts w:hint="default" w:ascii="Times New Roman" w:hAnsi="Times New Roman" w:eastAsia="宋体" w:cs="Times New Roman"/>
                <w:color w:val="auto"/>
                <w:sz w:val="24"/>
                <w:szCs w:val="24"/>
                <w:highlight w:val="none"/>
              </w:rPr>
              <w:t>锥连栎、滇榄仁灌丛。该群落在云南松林缘处分布较多，灌木层高度1.2m-1.5m，盖度约60%-70%。以锥连栎</w:t>
            </w:r>
            <w:r>
              <w:rPr>
                <w:rFonts w:hint="default" w:ascii="Times New Roman" w:hAnsi="Times New Roman" w:eastAsia="宋体" w:cs="Times New Roman"/>
                <w:i/>
                <w:iCs/>
                <w:color w:val="auto"/>
                <w:sz w:val="24"/>
                <w:szCs w:val="24"/>
                <w:highlight w:val="none"/>
              </w:rPr>
              <w:t>Quercus franchetii Skan</w:t>
            </w:r>
            <w:r>
              <w:rPr>
                <w:rFonts w:hint="default" w:ascii="Times New Roman" w:hAnsi="Times New Roman" w:eastAsia="宋体" w:cs="Times New Roman"/>
                <w:color w:val="auto"/>
                <w:sz w:val="24"/>
                <w:szCs w:val="24"/>
                <w:highlight w:val="none"/>
              </w:rPr>
              <w:t>和滇榄仁</w:t>
            </w:r>
            <w:r>
              <w:rPr>
                <w:rFonts w:hint="default" w:ascii="Times New Roman" w:hAnsi="Times New Roman" w:eastAsia="宋体" w:cs="Times New Roman"/>
                <w:i/>
                <w:iCs/>
                <w:color w:val="auto"/>
                <w:sz w:val="24"/>
                <w:szCs w:val="24"/>
                <w:highlight w:val="none"/>
              </w:rPr>
              <w:fldChar w:fldCharType="begin"/>
            </w:r>
            <w:r>
              <w:rPr>
                <w:rFonts w:hint="default" w:ascii="Times New Roman" w:hAnsi="Times New Roman" w:eastAsia="宋体" w:cs="Times New Roman"/>
                <w:i/>
                <w:iCs/>
                <w:color w:val="auto"/>
                <w:sz w:val="24"/>
                <w:szCs w:val="24"/>
                <w:highlight w:val="none"/>
              </w:rPr>
              <w:instrText xml:space="preserve"> HYPERLINK "http://www.baidu.com/link?url=qxANw_peIXP56AesqXWqJUeUr2beeIqtEzTrlQRA3HCKD8Re8_1me5kR2m0Ro6Sj8z8B82dUpRWigf0Qn8x9K_sm8XOc4vfoEHy_LOqbcgNfyNX4ScnRI9w0g1mutr06&amp;wd=&amp;eqid=9876d39f0064dde600000005649592b7" \t "_blank" </w:instrText>
            </w:r>
            <w:r>
              <w:rPr>
                <w:rFonts w:hint="default" w:ascii="Times New Roman" w:hAnsi="Times New Roman" w:eastAsia="宋体" w:cs="Times New Roman"/>
                <w:i/>
                <w:iCs/>
                <w:color w:val="auto"/>
                <w:sz w:val="24"/>
                <w:szCs w:val="24"/>
                <w:highlight w:val="none"/>
              </w:rPr>
              <w:fldChar w:fldCharType="separate"/>
            </w:r>
            <w:r>
              <w:rPr>
                <w:rFonts w:hint="default" w:ascii="Times New Roman" w:hAnsi="Times New Roman" w:eastAsia="宋体" w:cs="Times New Roman"/>
                <w:i/>
                <w:iCs/>
                <w:color w:val="auto"/>
                <w:sz w:val="24"/>
                <w:szCs w:val="24"/>
                <w:highlight w:val="none"/>
              </w:rPr>
              <w:t>Terminalia franchetii Gagnep.</w:t>
            </w:r>
            <w:r>
              <w:rPr>
                <w:rFonts w:hint="default" w:ascii="Times New Roman" w:hAnsi="Times New Roman" w:eastAsia="宋体" w:cs="Times New Roman"/>
                <w:i/>
                <w:iCs/>
                <w:color w:val="auto"/>
                <w:sz w:val="24"/>
                <w:szCs w:val="24"/>
                <w:highlight w:val="none"/>
              </w:rPr>
              <w:fldChar w:fldCharType="end"/>
            </w:r>
            <w:r>
              <w:rPr>
                <w:rFonts w:hint="default" w:ascii="Times New Roman" w:hAnsi="Times New Roman" w:eastAsia="宋体" w:cs="Times New Roman"/>
                <w:color w:val="auto"/>
                <w:sz w:val="24"/>
                <w:szCs w:val="24"/>
                <w:highlight w:val="none"/>
              </w:rPr>
              <w:t>为主，还有少量小梾木</w:t>
            </w:r>
            <w:r>
              <w:rPr>
                <w:rStyle w:val="55"/>
                <w:rFonts w:hint="default" w:ascii="Times New Roman" w:hAnsi="Times New Roman" w:eastAsia="宋体" w:cs="Times New Roman"/>
                <w:color w:val="auto"/>
                <w:sz w:val="24"/>
                <w:szCs w:val="24"/>
                <w:highlight w:val="none"/>
              </w:rPr>
              <w:t>Cornus quinquenervis Franch.</w:t>
            </w:r>
            <w:r>
              <w:rPr>
                <w:rFonts w:hint="default" w:ascii="Times New Roman" w:hAnsi="Times New Roman" w:eastAsia="宋体" w:cs="Times New Roman"/>
                <w:color w:val="auto"/>
                <w:sz w:val="24"/>
                <w:szCs w:val="24"/>
                <w:highlight w:val="none"/>
              </w:rPr>
              <w:t>、火棘</w:t>
            </w:r>
            <w:r>
              <w:rPr>
                <w:rStyle w:val="55"/>
                <w:rFonts w:hint="default" w:ascii="Times New Roman" w:hAnsi="Times New Roman" w:eastAsia="宋体" w:cs="Times New Roman"/>
                <w:color w:val="auto"/>
                <w:sz w:val="24"/>
                <w:szCs w:val="24"/>
                <w:highlight w:val="none"/>
              </w:rPr>
              <w:t>Pyracantha fortuneana (Maxim.) Li</w:t>
            </w:r>
            <w:r>
              <w:rPr>
                <w:rFonts w:hint="default" w:ascii="Times New Roman" w:hAnsi="Times New Roman" w:eastAsia="宋体" w:cs="Times New Roman"/>
                <w:color w:val="auto"/>
                <w:sz w:val="24"/>
                <w:szCs w:val="24"/>
                <w:highlight w:val="none"/>
              </w:rPr>
              <w:t>、马桑</w:t>
            </w:r>
            <w:r>
              <w:rPr>
                <w:rStyle w:val="55"/>
                <w:rFonts w:hint="default" w:ascii="Times New Roman" w:hAnsi="Times New Roman" w:eastAsia="宋体" w:cs="Times New Roman"/>
                <w:color w:val="auto"/>
                <w:sz w:val="24"/>
                <w:szCs w:val="24"/>
                <w:highlight w:val="none"/>
              </w:rPr>
              <w:t>Pyracantha fortuneana (Maxim.) Li</w:t>
            </w:r>
            <w:r>
              <w:rPr>
                <w:rFonts w:hint="default" w:ascii="Times New Roman" w:hAnsi="Times New Roman" w:eastAsia="宋体" w:cs="Times New Roman"/>
                <w:color w:val="auto"/>
                <w:sz w:val="24"/>
                <w:szCs w:val="24"/>
                <w:highlight w:val="none"/>
              </w:rPr>
              <w:t>等。草本层高度0.1m-0.4m，盖度约10%-40%，主要植物为多叶委陵菜</w:t>
            </w:r>
            <w:r>
              <w:rPr>
                <w:rStyle w:val="55"/>
                <w:rFonts w:hint="default" w:ascii="Times New Roman" w:hAnsi="Times New Roman" w:eastAsia="宋体" w:cs="Times New Roman"/>
                <w:color w:val="auto"/>
                <w:sz w:val="24"/>
                <w:szCs w:val="24"/>
                <w:highlight w:val="none"/>
              </w:rPr>
              <w:t>Potentilla polyphylla Wall</w:t>
            </w:r>
            <w:r>
              <w:rPr>
                <w:rFonts w:hint="default" w:ascii="Times New Roman" w:hAnsi="Times New Roman" w:eastAsia="宋体" w:cs="Times New Roman"/>
                <w:color w:val="auto"/>
                <w:sz w:val="24"/>
                <w:szCs w:val="24"/>
                <w:highlight w:val="none"/>
              </w:rPr>
              <w:t>、流苏龙胆</w:t>
            </w:r>
            <w:r>
              <w:rPr>
                <w:rStyle w:val="55"/>
                <w:rFonts w:hint="default" w:ascii="Times New Roman" w:hAnsi="Times New Roman" w:eastAsia="宋体" w:cs="Times New Roman"/>
                <w:color w:val="auto"/>
                <w:sz w:val="24"/>
                <w:szCs w:val="24"/>
                <w:highlight w:val="none"/>
              </w:rPr>
              <w:t>Gentiana panthaicaPrain et Burk.</w:t>
            </w:r>
            <w:r>
              <w:rPr>
                <w:rFonts w:hint="default" w:ascii="Times New Roman" w:hAnsi="Times New Roman" w:eastAsia="宋体" w:cs="Times New Roman"/>
                <w:color w:val="auto"/>
                <w:sz w:val="24"/>
                <w:szCs w:val="24"/>
                <w:highlight w:val="none"/>
              </w:rPr>
              <w:t>、脉纹鳞毛蕨</w:t>
            </w:r>
            <w:r>
              <w:rPr>
                <w:rFonts w:hint="default" w:ascii="Times New Roman" w:hAnsi="Times New Roman" w:eastAsia="宋体" w:cs="Times New Roman"/>
                <w:i/>
                <w:iCs/>
                <w:color w:val="auto"/>
                <w:sz w:val="24"/>
                <w:szCs w:val="24"/>
                <w:highlight w:val="none"/>
              </w:rPr>
              <w:t>Dryopteris lachoongensis</w:t>
            </w:r>
            <w:r>
              <w:rPr>
                <w:rFonts w:hint="default" w:ascii="Times New Roman" w:hAnsi="Times New Roman" w:eastAsia="宋体" w:cs="Times New Roman"/>
                <w:color w:val="auto"/>
                <w:sz w:val="24"/>
                <w:szCs w:val="24"/>
                <w:highlight w:val="none"/>
              </w:rPr>
              <w:t xml:space="preserve"> (Bedd.) B. K. Nayar &amp; S. Kaur、天南星</w:t>
            </w:r>
            <w:r>
              <w:rPr>
                <w:rStyle w:val="55"/>
                <w:rFonts w:hint="default" w:ascii="Times New Roman" w:hAnsi="Times New Roman" w:eastAsia="宋体" w:cs="Times New Roman"/>
                <w:color w:val="auto"/>
                <w:sz w:val="24"/>
                <w:szCs w:val="24"/>
                <w:highlight w:val="none"/>
              </w:rPr>
              <w:t>Arisaema heterophyllum Blume</w:t>
            </w:r>
            <w:r>
              <w:rPr>
                <w:rFonts w:hint="default" w:ascii="Times New Roman" w:hAnsi="Times New Roman" w:eastAsia="宋体" w:cs="Times New Roman"/>
                <w:color w:val="auto"/>
                <w:sz w:val="24"/>
                <w:szCs w:val="24"/>
                <w:highlight w:val="none"/>
              </w:rPr>
              <w:t>等。</w:t>
            </w:r>
          </w:p>
          <w:p w14:paraId="1A28CE64">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④</w:t>
            </w:r>
            <w:r>
              <w:rPr>
                <w:rFonts w:hint="default" w:ascii="Times New Roman" w:hAnsi="Times New Roman" w:eastAsia="宋体" w:cs="Times New Roman"/>
                <w:b/>
                <w:bCs/>
                <w:color w:val="auto"/>
                <w:kern w:val="0"/>
                <w:sz w:val="24"/>
                <w:szCs w:val="24"/>
                <w:highlight w:val="none"/>
              </w:rPr>
              <w:t>暖温性稀树灌木草丛</w:t>
            </w:r>
          </w:p>
          <w:p w14:paraId="5AAE5B6B">
            <w:pPr>
              <w:autoSpaceDE w:val="0"/>
              <w:spacing w:line="360" w:lineRule="auto"/>
              <w:ind w:firstLine="480" w:firstLineChars="200"/>
              <w:rPr>
                <w:rFonts w:hint="default" w:ascii="Times New Roman" w:hAnsi="Times New Roman" w:eastAsia="宋体" w:cs="Times New Roman"/>
                <w:iCs/>
                <w:color w:val="auto"/>
                <w:sz w:val="24"/>
                <w:szCs w:val="24"/>
                <w:highlight w:val="none"/>
                <w:lang w:eastAsia="zh-CN"/>
              </w:rPr>
            </w:pPr>
            <w:r>
              <w:rPr>
                <w:rFonts w:hint="default" w:ascii="Times New Roman" w:hAnsi="Times New Roman" w:eastAsia="宋体" w:cs="Times New Roman"/>
                <w:iCs/>
                <w:color w:val="auto"/>
                <w:sz w:val="24"/>
                <w:szCs w:val="24"/>
                <w:highlight w:val="none"/>
                <w:lang w:val="en-US" w:eastAsia="zh-CN" w:bidi="ar"/>
              </w:rPr>
              <w:t>评价区暖温性稀树灌木草丛主要分布于道路周边、山坡等较贫瘠之处，主要为</w:t>
            </w:r>
            <w:r>
              <w:rPr>
                <w:rFonts w:hint="default" w:ascii="Times New Roman" w:hAnsi="Times New Roman" w:eastAsia="宋体" w:cs="Times New Roman"/>
                <w:iCs/>
                <w:color w:val="auto"/>
                <w:sz w:val="24"/>
                <w:szCs w:val="24"/>
                <w:highlight w:val="none"/>
                <w:lang w:bidi="ar"/>
              </w:rPr>
              <w:t>黄茅、黄背草群落</w:t>
            </w:r>
            <w:r>
              <w:rPr>
                <w:rFonts w:hint="default" w:ascii="Times New Roman" w:hAnsi="Times New Roman" w:eastAsia="宋体" w:cs="Times New Roman"/>
                <w:iCs/>
                <w:color w:val="auto"/>
                <w:sz w:val="24"/>
                <w:szCs w:val="24"/>
                <w:highlight w:val="none"/>
                <w:lang w:eastAsia="zh-CN" w:bidi="ar"/>
              </w:rPr>
              <w:t>。</w:t>
            </w:r>
          </w:p>
          <w:p w14:paraId="32FDB234">
            <w:pPr>
              <w:autoSpaceDE w:val="0"/>
              <w:spacing w:line="360" w:lineRule="auto"/>
              <w:ind w:firstLine="480" w:firstLineChars="200"/>
              <w:rPr>
                <w:rFonts w:hint="default" w:ascii="Times New Roman" w:hAnsi="Times New Roman" w:eastAsia="宋体" w:cs="Times New Roman"/>
                <w:iCs/>
                <w:color w:val="auto"/>
                <w:sz w:val="24"/>
                <w:szCs w:val="24"/>
                <w:highlight w:val="none"/>
              </w:rPr>
            </w:pPr>
            <w:r>
              <w:rPr>
                <w:rFonts w:hint="default" w:ascii="Times New Roman" w:hAnsi="Times New Roman" w:eastAsia="宋体" w:cs="Times New Roman"/>
                <w:iCs/>
                <w:color w:val="auto"/>
                <w:sz w:val="24"/>
                <w:szCs w:val="24"/>
                <w:highlight w:val="none"/>
                <w:lang w:bidi="ar"/>
              </w:rPr>
              <w:t>该群落在评价区内分布面积不大，多见于土壤瘠薄、生境干旱的山坡。群落中稀见乔木，灌木亦较少，以草本为主，多呈草丛状。该群落高约0.3—0.6m，群落总盖度约65%—85%，片层分化不显著，只有一个片层，即灌草层。群落以黄茅</w:t>
            </w:r>
            <w:r>
              <w:rPr>
                <w:rFonts w:hint="default" w:ascii="Times New Roman" w:hAnsi="Times New Roman" w:eastAsia="宋体" w:cs="Times New Roman"/>
                <w:i/>
                <w:iCs/>
                <w:color w:val="auto"/>
                <w:sz w:val="24"/>
                <w:szCs w:val="24"/>
                <w:highlight w:val="none"/>
                <w:lang w:bidi="ar"/>
              </w:rPr>
              <w:t>Heteropogon</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contortus</w:t>
            </w:r>
            <w:r>
              <w:rPr>
                <w:rFonts w:hint="default" w:ascii="Times New Roman" w:hAnsi="Times New Roman" w:eastAsia="宋体" w:cs="Times New Roman"/>
                <w:iCs/>
                <w:color w:val="auto"/>
                <w:sz w:val="24"/>
                <w:szCs w:val="24"/>
                <w:highlight w:val="none"/>
                <w:lang w:bidi="ar"/>
              </w:rPr>
              <w:t>、黄背草</w:t>
            </w:r>
            <w:r>
              <w:rPr>
                <w:rFonts w:hint="default" w:ascii="Times New Roman" w:hAnsi="Times New Roman" w:eastAsia="宋体" w:cs="Times New Roman"/>
                <w:i/>
                <w:iCs/>
                <w:color w:val="auto"/>
                <w:sz w:val="24"/>
                <w:szCs w:val="24"/>
                <w:highlight w:val="none"/>
                <w:lang w:bidi="ar"/>
              </w:rPr>
              <w:t>Themeda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triandra</w:t>
            </w:r>
            <w:r>
              <w:rPr>
                <w:rFonts w:hint="default" w:ascii="Times New Roman" w:hAnsi="Times New Roman" w:eastAsia="宋体" w:cs="Times New Roman"/>
                <w:iCs/>
                <w:color w:val="auto"/>
                <w:sz w:val="24"/>
                <w:szCs w:val="24"/>
                <w:highlight w:val="none"/>
                <w:lang w:bidi="ar"/>
              </w:rPr>
              <w:t>占优势，另外常见戟叶酸模</w:t>
            </w:r>
            <w:r>
              <w:rPr>
                <w:rFonts w:hint="default" w:ascii="Times New Roman" w:hAnsi="Times New Roman" w:eastAsia="宋体" w:cs="Times New Roman"/>
                <w:i/>
                <w:iCs/>
                <w:color w:val="auto"/>
                <w:sz w:val="24"/>
                <w:szCs w:val="24"/>
                <w:highlight w:val="none"/>
                <w:lang w:bidi="ar"/>
              </w:rPr>
              <w:t>Rumex</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hastatus</w:t>
            </w:r>
            <w:r>
              <w:rPr>
                <w:rFonts w:hint="default" w:ascii="Times New Roman" w:hAnsi="Times New Roman" w:eastAsia="宋体" w:cs="Times New Roman"/>
                <w:iCs/>
                <w:color w:val="auto"/>
                <w:sz w:val="24"/>
                <w:szCs w:val="24"/>
                <w:highlight w:val="none"/>
                <w:lang w:bidi="ar"/>
              </w:rPr>
              <w:t>、地果</w:t>
            </w:r>
            <w:r>
              <w:rPr>
                <w:rFonts w:hint="default" w:ascii="Times New Roman" w:hAnsi="Times New Roman" w:eastAsia="宋体" w:cs="Times New Roman"/>
                <w:i/>
                <w:iCs/>
                <w:color w:val="auto"/>
                <w:sz w:val="24"/>
                <w:szCs w:val="24"/>
                <w:highlight w:val="none"/>
                <w:lang w:bidi="ar"/>
              </w:rPr>
              <w:t>Ficus</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tikoua</w:t>
            </w:r>
            <w:r>
              <w:rPr>
                <w:rFonts w:hint="default" w:ascii="Times New Roman" w:hAnsi="Times New Roman" w:eastAsia="宋体" w:cs="Times New Roman"/>
                <w:iCs/>
                <w:color w:val="auto"/>
                <w:sz w:val="24"/>
                <w:szCs w:val="24"/>
                <w:highlight w:val="none"/>
                <w:lang w:bidi="ar"/>
              </w:rPr>
              <w:t>、白茅</w:t>
            </w:r>
            <w:r>
              <w:rPr>
                <w:rFonts w:hint="default" w:ascii="Times New Roman" w:hAnsi="Times New Roman" w:eastAsia="宋体" w:cs="Times New Roman"/>
                <w:i/>
                <w:iCs/>
                <w:color w:val="auto"/>
                <w:sz w:val="24"/>
                <w:szCs w:val="24"/>
                <w:highlight w:val="none"/>
                <w:lang w:bidi="ar"/>
              </w:rPr>
              <w:t>Imperata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cylindrica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var</w:t>
            </w:r>
            <w:r>
              <w:rPr>
                <w:rFonts w:hint="default" w:ascii="Times New Roman" w:hAnsi="Times New Roman" w:eastAsia="宋体" w:cs="Times New Roman"/>
                <w:iCs/>
                <w:color w:val="auto"/>
                <w:sz w:val="24"/>
                <w:szCs w:val="24"/>
                <w:highlight w:val="none"/>
                <w:lang w:bidi="ar"/>
              </w:rPr>
              <w:t>.</w:t>
            </w:r>
            <w:r>
              <w:rPr>
                <w:rFonts w:hint="default" w:ascii="Times New Roman" w:hAnsi="Times New Roman" w:eastAsia="宋体" w:cs="Times New Roman"/>
                <w:i/>
                <w:iCs/>
                <w:color w:val="auto"/>
                <w:sz w:val="24"/>
                <w:szCs w:val="24"/>
                <w:highlight w:val="none"/>
                <w:lang w:bidi="ar"/>
              </w:rPr>
              <w:t>major</w:t>
            </w:r>
            <w:r>
              <w:rPr>
                <w:rFonts w:hint="default" w:ascii="Times New Roman" w:hAnsi="Times New Roman" w:eastAsia="宋体" w:cs="Times New Roman"/>
                <w:iCs/>
                <w:color w:val="auto"/>
                <w:sz w:val="24"/>
                <w:szCs w:val="24"/>
                <w:highlight w:val="none"/>
                <w:lang w:bidi="ar"/>
              </w:rPr>
              <w:t>、茅莓</w:t>
            </w:r>
            <w:r>
              <w:rPr>
                <w:rFonts w:hint="default" w:ascii="Times New Roman" w:hAnsi="Times New Roman" w:eastAsia="宋体" w:cs="Times New Roman"/>
                <w:i/>
                <w:iCs/>
                <w:color w:val="auto"/>
                <w:sz w:val="24"/>
                <w:szCs w:val="24"/>
                <w:highlight w:val="none"/>
                <w:lang w:bidi="ar"/>
              </w:rPr>
              <w:t>Rubus</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parvifolius</w:t>
            </w:r>
            <w:r>
              <w:rPr>
                <w:rFonts w:hint="default" w:ascii="Times New Roman" w:hAnsi="Times New Roman" w:eastAsia="宋体" w:cs="Times New Roman"/>
                <w:iCs/>
                <w:color w:val="auto"/>
                <w:sz w:val="24"/>
                <w:szCs w:val="24"/>
                <w:highlight w:val="none"/>
                <w:lang w:bidi="ar"/>
              </w:rPr>
              <w:t>、野艾蒿</w:t>
            </w:r>
            <w:r>
              <w:rPr>
                <w:rFonts w:hint="default" w:ascii="Times New Roman" w:hAnsi="Times New Roman" w:eastAsia="宋体" w:cs="Times New Roman"/>
                <w:i/>
                <w:iCs/>
                <w:color w:val="auto"/>
                <w:sz w:val="24"/>
                <w:szCs w:val="24"/>
                <w:highlight w:val="none"/>
                <w:lang w:bidi="ar"/>
              </w:rPr>
              <w:t>Artemisia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lavandulaefolia</w:t>
            </w:r>
            <w:r>
              <w:rPr>
                <w:rFonts w:hint="default" w:ascii="Times New Roman" w:hAnsi="Times New Roman" w:eastAsia="宋体" w:cs="Times New Roman"/>
                <w:iCs/>
                <w:color w:val="auto"/>
                <w:sz w:val="24"/>
                <w:szCs w:val="24"/>
                <w:highlight w:val="none"/>
                <w:lang w:bidi="ar"/>
              </w:rPr>
              <w:t>、两头毛</w:t>
            </w:r>
            <w:r>
              <w:rPr>
                <w:rFonts w:hint="default" w:ascii="Times New Roman" w:hAnsi="Times New Roman" w:eastAsia="宋体" w:cs="Times New Roman"/>
                <w:i/>
                <w:iCs/>
                <w:color w:val="auto"/>
                <w:sz w:val="24"/>
                <w:szCs w:val="24"/>
                <w:highlight w:val="none"/>
                <w:lang w:bidi="ar"/>
              </w:rPr>
              <w:t>Incarvillea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arguta</w:t>
            </w:r>
            <w:r>
              <w:rPr>
                <w:rFonts w:hint="default" w:ascii="Times New Roman" w:hAnsi="Times New Roman" w:eastAsia="宋体" w:cs="Times New Roman"/>
                <w:iCs/>
                <w:color w:val="auto"/>
                <w:sz w:val="24"/>
                <w:szCs w:val="24"/>
                <w:highlight w:val="none"/>
                <w:lang w:bidi="ar"/>
              </w:rPr>
              <w:t>、知风草</w:t>
            </w:r>
            <w:r>
              <w:rPr>
                <w:rFonts w:hint="default" w:ascii="Times New Roman" w:hAnsi="Times New Roman" w:eastAsia="宋体" w:cs="Times New Roman"/>
                <w:i/>
                <w:iCs/>
                <w:color w:val="auto"/>
                <w:sz w:val="24"/>
                <w:szCs w:val="24"/>
                <w:highlight w:val="none"/>
                <w:lang w:bidi="ar"/>
              </w:rPr>
              <w:t>Eragrostis</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ferruginea</w:t>
            </w:r>
            <w:r>
              <w:rPr>
                <w:rFonts w:hint="default" w:ascii="Times New Roman" w:hAnsi="Times New Roman" w:eastAsia="宋体" w:cs="Times New Roman"/>
                <w:iCs/>
                <w:color w:val="auto"/>
                <w:sz w:val="24"/>
                <w:szCs w:val="24"/>
                <w:highlight w:val="none"/>
                <w:lang w:bidi="ar"/>
              </w:rPr>
              <w:t>、珠光香青</w:t>
            </w:r>
            <w:r>
              <w:rPr>
                <w:rFonts w:hint="default" w:ascii="Times New Roman" w:hAnsi="Times New Roman" w:eastAsia="宋体" w:cs="Times New Roman"/>
                <w:i/>
                <w:iCs/>
                <w:color w:val="auto"/>
                <w:sz w:val="24"/>
                <w:szCs w:val="24"/>
                <w:highlight w:val="none"/>
                <w:lang w:bidi="ar"/>
              </w:rPr>
              <w:t>Anaphalis</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margaritacea</w:t>
            </w:r>
            <w:r>
              <w:rPr>
                <w:rFonts w:hint="default" w:ascii="Times New Roman" w:hAnsi="Times New Roman" w:eastAsia="宋体" w:cs="Times New Roman"/>
                <w:iCs/>
                <w:color w:val="auto"/>
                <w:sz w:val="24"/>
                <w:szCs w:val="24"/>
                <w:highlight w:val="none"/>
                <w:lang w:bidi="ar"/>
              </w:rPr>
              <w:t>、野青茅</w:t>
            </w:r>
            <w:r>
              <w:rPr>
                <w:rFonts w:hint="default" w:ascii="Times New Roman" w:hAnsi="Times New Roman" w:eastAsia="宋体" w:cs="Times New Roman"/>
                <w:i/>
                <w:iCs/>
                <w:color w:val="auto"/>
                <w:sz w:val="24"/>
                <w:szCs w:val="24"/>
                <w:highlight w:val="none"/>
                <w:lang w:bidi="ar"/>
              </w:rPr>
              <w:t>Deyeuxia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arundinacea</w:t>
            </w:r>
            <w:r>
              <w:rPr>
                <w:rFonts w:hint="default" w:ascii="Times New Roman" w:hAnsi="Times New Roman" w:eastAsia="宋体" w:cs="Times New Roman"/>
                <w:iCs/>
                <w:color w:val="auto"/>
                <w:sz w:val="24"/>
                <w:szCs w:val="24"/>
                <w:highlight w:val="none"/>
                <w:lang w:bidi="ar"/>
              </w:rPr>
              <w:t>、刺芒野古草</w:t>
            </w:r>
            <w:r>
              <w:rPr>
                <w:rFonts w:hint="default" w:ascii="Times New Roman" w:hAnsi="Times New Roman" w:eastAsia="宋体" w:cs="Times New Roman"/>
                <w:i/>
                <w:iCs/>
                <w:color w:val="auto"/>
                <w:sz w:val="24"/>
                <w:szCs w:val="24"/>
                <w:highlight w:val="none"/>
                <w:lang w:bidi="ar"/>
              </w:rPr>
              <w:t>Arundinella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setosa</w:t>
            </w:r>
            <w:r>
              <w:rPr>
                <w:rFonts w:hint="default" w:ascii="Times New Roman" w:hAnsi="Times New Roman" w:eastAsia="宋体" w:cs="Times New Roman"/>
                <w:iCs/>
                <w:color w:val="auto"/>
                <w:sz w:val="24"/>
                <w:szCs w:val="24"/>
                <w:highlight w:val="none"/>
                <w:lang w:bidi="ar"/>
              </w:rPr>
              <w:t>、白健秆</w:t>
            </w:r>
            <w:r>
              <w:rPr>
                <w:rFonts w:hint="default" w:ascii="Times New Roman" w:hAnsi="Times New Roman" w:eastAsia="宋体" w:cs="Times New Roman"/>
                <w:i/>
                <w:iCs/>
                <w:color w:val="auto"/>
                <w:sz w:val="24"/>
                <w:szCs w:val="24"/>
                <w:highlight w:val="none"/>
                <w:lang w:bidi="ar"/>
              </w:rPr>
              <w:t>Eulalia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pallens</w:t>
            </w:r>
            <w:r>
              <w:rPr>
                <w:rFonts w:hint="default" w:ascii="Times New Roman" w:hAnsi="Times New Roman" w:eastAsia="宋体" w:cs="Times New Roman"/>
                <w:iCs/>
                <w:color w:val="auto"/>
                <w:sz w:val="24"/>
                <w:szCs w:val="24"/>
                <w:highlight w:val="none"/>
                <w:lang w:bidi="ar"/>
              </w:rPr>
              <w:t>、密毛蕨</w:t>
            </w:r>
            <w:r>
              <w:rPr>
                <w:rFonts w:hint="default" w:ascii="Times New Roman" w:hAnsi="Times New Roman" w:eastAsia="宋体" w:cs="Times New Roman"/>
                <w:i/>
                <w:iCs/>
                <w:color w:val="auto"/>
                <w:sz w:val="24"/>
                <w:szCs w:val="24"/>
                <w:highlight w:val="none"/>
                <w:lang w:bidi="ar"/>
              </w:rPr>
              <w:t>Pteridium</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revolutum</w:t>
            </w:r>
            <w:r>
              <w:rPr>
                <w:rFonts w:hint="default" w:ascii="Times New Roman" w:hAnsi="Times New Roman" w:eastAsia="宋体" w:cs="Times New Roman"/>
                <w:iCs/>
                <w:color w:val="auto"/>
                <w:sz w:val="24"/>
                <w:szCs w:val="24"/>
                <w:highlight w:val="none"/>
                <w:lang w:bidi="ar"/>
              </w:rPr>
              <w:t>、小白酒草</w:t>
            </w:r>
            <w:r>
              <w:rPr>
                <w:rFonts w:hint="default" w:ascii="Times New Roman" w:hAnsi="Times New Roman" w:eastAsia="宋体" w:cs="Times New Roman"/>
                <w:i/>
                <w:iCs/>
                <w:color w:val="auto"/>
                <w:sz w:val="24"/>
                <w:szCs w:val="24"/>
                <w:highlight w:val="none"/>
                <w:lang w:bidi="ar"/>
              </w:rPr>
              <w:t>Conyza</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canadensis</w:t>
            </w:r>
            <w:r>
              <w:rPr>
                <w:rFonts w:hint="default" w:ascii="Times New Roman" w:hAnsi="Times New Roman" w:eastAsia="宋体" w:cs="Times New Roman"/>
                <w:iCs/>
                <w:color w:val="auto"/>
                <w:sz w:val="24"/>
                <w:szCs w:val="24"/>
                <w:highlight w:val="none"/>
                <w:lang w:bidi="ar"/>
              </w:rPr>
              <w:t>、茅叶荩草</w:t>
            </w:r>
            <w:r>
              <w:rPr>
                <w:rFonts w:hint="default" w:ascii="Times New Roman" w:hAnsi="Times New Roman" w:eastAsia="宋体" w:cs="Times New Roman"/>
                <w:i/>
                <w:iCs/>
                <w:color w:val="auto"/>
                <w:sz w:val="24"/>
                <w:szCs w:val="24"/>
                <w:highlight w:val="none"/>
                <w:lang w:bidi="ar"/>
              </w:rPr>
              <w:t>Arthraxon</w:t>
            </w:r>
            <w:r>
              <w:rPr>
                <w:rFonts w:hint="default" w:ascii="Times New Roman" w:hAnsi="Times New Roman" w:eastAsia="宋体" w:cs="Times New Roman"/>
                <w:iCs/>
                <w:color w:val="auto"/>
                <w:sz w:val="24"/>
                <w:szCs w:val="24"/>
                <w:highlight w:val="none"/>
                <w:lang w:bidi="ar"/>
              </w:rPr>
              <w:t xml:space="preserve"> </w:t>
            </w:r>
            <w:r>
              <w:rPr>
                <w:rFonts w:hint="default" w:ascii="Times New Roman" w:hAnsi="Times New Roman" w:eastAsia="宋体" w:cs="Times New Roman"/>
                <w:i/>
                <w:iCs/>
                <w:color w:val="auto"/>
                <w:sz w:val="24"/>
                <w:szCs w:val="24"/>
                <w:highlight w:val="none"/>
                <w:lang w:bidi="ar"/>
              </w:rPr>
              <w:t>prionodes</w:t>
            </w:r>
            <w:r>
              <w:rPr>
                <w:rFonts w:hint="default" w:ascii="Times New Roman" w:hAnsi="Times New Roman" w:eastAsia="宋体" w:cs="Times New Roman"/>
                <w:iCs/>
                <w:color w:val="auto"/>
                <w:sz w:val="24"/>
                <w:szCs w:val="24"/>
                <w:highlight w:val="none"/>
                <w:lang w:bidi="ar"/>
              </w:rPr>
              <w:t>等。</w:t>
            </w:r>
          </w:p>
          <w:p w14:paraId="07B39346">
            <w:pPr>
              <w:pStyle w:val="340"/>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⑤</w:t>
            </w:r>
            <w:r>
              <w:rPr>
                <w:rFonts w:hint="default" w:ascii="Times New Roman" w:hAnsi="Times New Roman" w:eastAsia="宋体" w:cs="Times New Roman"/>
                <w:b/>
                <w:bCs/>
                <w:color w:val="auto"/>
                <w:sz w:val="24"/>
                <w:szCs w:val="24"/>
                <w:highlight w:val="none"/>
              </w:rPr>
              <w:t>人工植被</w:t>
            </w:r>
          </w:p>
          <w:p w14:paraId="3DC59EA6">
            <w:pPr>
              <w:keepNext w:val="0"/>
              <w:keepLines w:val="0"/>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本区农业生产的历史悠久，农业生产较为发达，种植品种以传统粮食作物为主。评价区人工植被主要为旱地植被</w:t>
            </w:r>
            <w:r>
              <w:rPr>
                <w:rFonts w:hint="default" w:ascii="Times New Roman" w:hAnsi="Times New Roman" w:eastAsia="宋体" w:cs="Times New Roman"/>
                <w:color w:val="auto"/>
                <w:sz w:val="24"/>
                <w:szCs w:val="24"/>
                <w:highlight w:val="none"/>
              </w:rPr>
              <w:t>为主，主要种植玉米、豌豆、核桃等经济作物。</w:t>
            </w:r>
          </w:p>
          <w:p w14:paraId="4F13BE84">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5.4.3</w:t>
            </w:r>
            <w:r>
              <w:rPr>
                <w:rFonts w:hint="default" w:ascii="Times New Roman" w:hAnsi="Times New Roman" w:eastAsia="宋体" w:cs="Times New Roman"/>
                <w:b/>
                <w:bCs/>
                <w:color w:val="auto"/>
                <w:sz w:val="24"/>
                <w:highlight w:val="none"/>
              </w:rPr>
              <w:t>重点野生植物</w:t>
            </w:r>
          </w:p>
          <w:p w14:paraId="78D249FC">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根据《国家重点保护野生植物名录（2021版）》《云南省各州市分布的国家重点保护野生动植物名录（2021年）》（云南省林业和草原局，2022年10月12日）及</w:t>
            </w:r>
            <w:r>
              <w:rPr>
                <w:rFonts w:hint="default" w:ascii="Times New Roman" w:hAnsi="Times New Roman" w:eastAsia="宋体" w:cs="Times New Roman"/>
                <w:color w:val="auto"/>
                <w:sz w:val="24"/>
                <w:szCs w:val="24"/>
                <w:highlight w:val="none"/>
                <w:lang w:eastAsia="zh-CN"/>
              </w:rPr>
              <w:t>《云南省重点保护野生植物名录》（</w:t>
            </w:r>
            <w:r>
              <w:rPr>
                <w:rFonts w:hint="default" w:ascii="Times New Roman" w:hAnsi="Times New Roman" w:eastAsia="宋体" w:cs="Times New Roman"/>
                <w:i w:val="0"/>
                <w:iCs w:val="0"/>
                <w:caps w:val="0"/>
                <w:color w:val="auto"/>
                <w:spacing w:val="0"/>
                <w:sz w:val="24"/>
                <w:szCs w:val="24"/>
                <w:highlight w:val="none"/>
                <w:shd w:val="clear" w:fill="FFFFFF"/>
              </w:rPr>
              <w:t>云南省林业和草原局 云南省农业农村厅</w:t>
            </w:r>
            <w:r>
              <w:rPr>
                <w:rFonts w:hint="default" w:ascii="Times New Roman" w:hAnsi="Times New Roman" w:eastAsia="宋体" w:cs="Times New Roman"/>
                <w:color w:val="auto"/>
                <w:sz w:val="24"/>
                <w:szCs w:val="24"/>
                <w:highlight w:val="none"/>
                <w:lang w:eastAsia="zh-CN"/>
              </w:rPr>
              <w:t>，2023年12月</w:t>
            </w:r>
            <w:r>
              <w:rPr>
                <w:rFonts w:hint="default" w:ascii="Times New Roman" w:hAnsi="Times New Roman" w:eastAsia="宋体" w:cs="Times New Roman"/>
                <w:color w:val="auto"/>
                <w:sz w:val="24"/>
                <w:szCs w:val="24"/>
                <w:highlight w:val="none"/>
                <w:lang w:val="en-US" w:eastAsia="zh-CN"/>
              </w:rPr>
              <w:t>15日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同时结合</w:t>
            </w:r>
            <w:r>
              <w:rPr>
                <w:rFonts w:hint="default" w:ascii="Times New Roman" w:hAnsi="Times New Roman" w:eastAsia="宋体" w:cs="Times New Roman"/>
                <w:color w:val="auto"/>
                <w:sz w:val="24"/>
                <w:szCs w:val="24"/>
                <w:highlight w:val="none"/>
                <w:lang w:val="en-US" w:eastAsia="zh-CN"/>
              </w:rPr>
              <w:t>《中清能禄劝县岩子头200MW生态修复光伏电站项目环境影响报告表》，</w:t>
            </w:r>
            <w:r>
              <w:rPr>
                <w:rFonts w:hint="default" w:ascii="Times New Roman" w:hAnsi="Times New Roman" w:eastAsia="宋体" w:cs="Times New Roman"/>
                <w:color w:val="auto"/>
                <w:sz w:val="24"/>
                <w:highlight w:val="none"/>
              </w:rPr>
              <w:t>在</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评价区范围内未发现国家级或云南省省级重点保护植物。</w:t>
            </w:r>
          </w:p>
          <w:p w14:paraId="6F0FF010">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5.4.4</w:t>
            </w:r>
            <w:r>
              <w:rPr>
                <w:rFonts w:hint="default" w:ascii="Times New Roman" w:hAnsi="Times New Roman" w:eastAsia="宋体" w:cs="Times New Roman"/>
                <w:b/>
                <w:bCs/>
                <w:color w:val="auto"/>
                <w:sz w:val="24"/>
                <w:highlight w:val="none"/>
              </w:rPr>
              <w:t>古树名木</w:t>
            </w:r>
          </w:p>
          <w:p w14:paraId="788B7681">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w:t>
            </w:r>
            <w:r>
              <w:rPr>
                <w:rFonts w:hint="default" w:ascii="Times New Roman" w:hAnsi="Times New Roman" w:eastAsia="宋体" w:cs="Times New Roman"/>
                <w:color w:val="auto"/>
                <w:sz w:val="24"/>
                <w:highlight w:val="none"/>
              </w:rPr>
              <w:t>据云南省林业厅文件云林保护字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1996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第65号《关于印发云南省古树名木名录的通知》和实地走访，</w:t>
            </w:r>
            <w:r>
              <w:rPr>
                <w:rFonts w:hint="default" w:ascii="Times New Roman" w:hAnsi="Times New Roman" w:eastAsia="宋体" w:cs="Times New Roman"/>
                <w:color w:val="auto"/>
                <w:sz w:val="24"/>
                <w:highlight w:val="none"/>
                <w:lang w:val="en-US" w:eastAsia="zh-CN"/>
              </w:rPr>
              <w:t>同时结合</w:t>
            </w:r>
            <w:r>
              <w:rPr>
                <w:rFonts w:hint="default" w:ascii="Times New Roman" w:hAnsi="Times New Roman" w:eastAsia="宋体" w:cs="Times New Roman"/>
                <w:color w:val="auto"/>
                <w:sz w:val="24"/>
                <w:szCs w:val="24"/>
                <w:highlight w:val="none"/>
                <w:lang w:val="en-US" w:eastAsia="zh-CN"/>
              </w:rPr>
              <w:t>《中清能禄劝县岩子头200MW生态修复光伏电站项目环境影响报告表》，</w:t>
            </w:r>
            <w:r>
              <w:rPr>
                <w:rFonts w:hint="default" w:ascii="Times New Roman" w:hAnsi="Times New Roman" w:eastAsia="宋体" w:cs="Times New Roman"/>
                <w:color w:val="auto"/>
                <w:sz w:val="24"/>
                <w:highlight w:val="none"/>
              </w:rPr>
              <w:t>在评价范围内未发现古树名木分布。</w:t>
            </w:r>
          </w:p>
          <w:p w14:paraId="7DFCC27A">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5.4.5</w:t>
            </w:r>
            <w:r>
              <w:rPr>
                <w:rFonts w:hint="default" w:ascii="Times New Roman" w:hAnsi="Times New Roman" w:eastAsia="宋体" w:cs="Times New Roman"/>
                <w:b/>
                <w:bCs/>
                <w:color w:val="auto"/>
                <w:sz w:val="24"/>
                <w:highlight w:val="none"/>
              </w:rPr>
              <w:t>《中国生物多样性红色名录》中的植物</w:t>
            </w:r>
          </w:p>
          <w:p w14:paraId="0D5229DB">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依据《中国生物多样性红色名录 高等植物卷》（生态环境部、中国科学院，2023年第15号），参考项目所在地有关珍稀濒危植物及其分布的相关资料，根据标本及文献资料查证，野外实地调查及访问调查，</w:t>
            </w:r>
            <w:r>
              <w:rPr>
                <w:rFonts w:hint="default" w:ascii="Times New Roman" w:hAnsi="Times New Roman" w:eastAsia="宋体" w:cs="Times New Roman"/>
                <w:color w:val="auto"/>
                <w:sz w:val="24"/>
                <w:highlight w:val="none"/>
                <w:lang w:val="en-US" w:eastAsia="zh-CN"/>
              </w:rPr>
              <w:t>同时结合</w:t>
            </w:r>
            <w:r>
              <w:rPr>
                <w:rFonts w:hint="default" w:ascii="Times New Roman" w:hAnsi="Times New Roman" w:eastAsia="宋体" w:cs="Times New Roman"/>
                <w:color w:val="auto"/>
                <w:sz w:val="24"/>
                <w:szCs w:val="24"/>
                <w:highlight w:val="none"/>
                <w:lang w:val="en-US" w:eastAsia="zh-CN"/>
              </w:rPr>
              <w:t>《中清能禄劝县岩子头200MW生态修复光伏电站项目环境影响报告表》，</w:t>
            </w:r>
            <w:r>
              <w:rPr>
                <w:rFonts w:hint="default" w:ascii="Times New Roman" w:hAnsi="Times New Roman" w:eastAsia="宋体" w:cs="Times New Roman"/>
                <w:color w:val="auto"/>
                <w:sz w:val="24"/>
                <w:highlight w:val="none"/>
              </w:rPr>
              <w:t>现阶段在评价区未发现有极危、濒危、易危植物分布。</w:t>
            </w:r>
          </w:p>
          <w:p w14:paraId="4C958D8D">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5.4.6地方狭域特有物种</w:t>
            </w:r>
            <w:r>
              <w:rPr>
                <w:rFonts w:hint="default" w:ascii="Times New Roman" w:hAnsi="Times New Roman" w:eastAsia="宋体" w:cs="Times New Roman"/>
                <w:b/>
                <w:bCs/>
                <w:color w:val="auto"/>
                <w:sz w:val="24"/>
                <w:highlight w:val="none"/>
              </w:rPr>
              <w:t>和极小种群</w:t>
            </w:r>
          </w:p>
          <w:p w14:paraId="285432DA">
            <w:pPr>
              <w:spacing w:line="360" w:lineRule="auto"/>
              <w:ind w:firstLine="48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本次调查期间评价区未发现有地方狭域特有植物；同时结合《全国极小种群野生植物拯救保护工程规划（2011-2015年）》和《云南省极小种群物种拯救保护规划纲要（2010-2020年）》中颁布的极小种群野生植物名单，调查区未发现极小种群野生植物分布。</w:t>
            </w:r>
          </w:p>
          <w:p w14:paraId="6B66FBD4">
            <w:pPr>
              <w:keepNext w:val="0"/>
              <w:keepLines w:val="0"/>
              <w:pageBreakBefore w:val="0"/>
              <w:wordWrap/>
              <w:topLinePunct w:val="0"/>
              <w:autoSpaceDE/>
              <w:autoSpaceDN/>
              <w:bidi w:val="0"/>
              <w:adjustRightInd/>
              <w:snapToGrid/>
              <w:spacing w:line="356" w:lineRule="auto"/>
              <w:ind w:right="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5.5</w:t>
            </w:r>
            <w:r>
              <w:rPr>
                <w:rFonts w:hint="default" w:ascii="Times New Roman" w:hAnsi="Times New Roman" w:eastAsia="宋体" w:cs="Times New Roman"/>
                <w:b/>
                <w:bCs/>
                <w:color w:val="auto"/>
                <w:sz w:val="24"/>
                <w:highlight w:val="none"/>
              </w:rPr>
              <w:t>陆生脊椎动物现状</w:t>
            </w:r>
          </w:p>
          <w:p w14:paraId="7E7EEF4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本工程</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u w:val="none"/>
                <w:lang w:eastAsia="zh-CN"/>
              </w:rPr>
              <w:t>昆明市禄劝县团街镇</w:t>
            </w:r>
            <w:r>
              <w:rPr>
                <w:rFonts w:hint="default" w:ascii="Times New Roman" w:hAnsi="Times New Roman" w:eastAsia="宋体" w:cs="Times New Roman"/>
                <w:color w:val="auto"/>
                <w:sz w:val="24"/>
                <w:szCs w:val="24"/>
                <w:highlight w:val="none"/>
                <w:u w:val="none"/>
                <w:lang w:val="en-US" w:eastAsia="zh-CN"/>
              </w:rPr>
              <w:t>境内</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根据现场调查，升压站目前已建设完工，升压站周边</w:t>
            </w:r>
            <w:r>
              <w:rPr>
                <w:rFonts w:hint="default" w:ascii="Times New Roman" w:hAnsi="Times New Roman" w:eastAsia="宋体" w:cs="Times New Roman"/>
                <w:color w:val="auto"/>
                <w:spacing w:val="-4"/>
                <w:sz w:val="24"/>
                <w:szCs w:val="24"/>
                <w:highlight w:val="none"/>
              </w:rPr>
              <w:t>区域</w:t>
            </w:r>
            <w:r>
              <w:rPr>
                <w:rFonts w:hint="default" w:ascii="Times New Roman" w:hAnsi="Times New Roman" w:eastAsia="宋体" w:cs="Times New Roman"/>
                <w:color w:val="auto"/>
                <w:spacing w:val="-4"/>
                <w:sz w:val="24"/>
                <w:szCs w:val="24"/>
                <w:highlight w:val="none"/>
                <w:lang w:val="en-US" w:eastAsia="zh-CN"/>
              </w:rPr>
              <w:t>500m范围内自然植被以云南松林为主</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lang w:val="en-US" w:eastAsia="zh-CN"/>
              </w:rPr>
              <w:t>调查期间</w:t>
            </w:r>
            <w:r>
              <w:rPr>
                <w:rFonts w:hint="default" w:ascii="Times New Roman" w:hAnsi="Times New Roman" w:eastAsia="宋体" w:cs="Times New Roman"/>
                <w:color w:val="auto"/>
                <w:sz w:val="24"/>
                <w:szCs w:val="24"/>
                <w:highlight w:val="none"/>
              </w:rPr>
              <w:t>未见大型野生动物分布，区域动物多为适应人类活动的啮齿目动物和小型鸟类，其中如小型有害哺乳类动物</w:t>
            </w:r>
            <w:r>
              <w:rPr>
                <w:rFonts w:hint="default" w:ascii="Times New Roman" w:hAnsi="Times New Roman" w:eastAsia="宋体" w:cs="Times New Roman"/>
                <w:bCs/>
                <w:color w:val="auto"/>
                <w:sz w:val="24"/>
                <w:highlight w:val="none"/>
              </w:rPr>
              <w:t>赤腹松鼠（</w:t>
            </w:r>
            <w:r>
              <w:rPr>
                <w:rFonts w:hint="default" w:ascii="Times New Roman" w:hAnsi="Times New Roman" w:eastAsia="宋体" w:cs="Times New Roman"/>
                <w:bCs/>
                <w:i/>
                <w:color w:val="auto"/>
                <w:sz w:val="24"/>
                <w:highlight w:val="none"/>
              </w:rPr>
              <w:t>Callosciurus erythraeus</w:t>
            </w:r>
            <w:r>
              <w:rPr>
                <w:rFonts w:hint="default" w:ascii="Times New Roman" w:hAnsi="Times New Roman" w:eastAsia="宋体" w:cs="Times New Roman"/>
                <w:bCs/>
                <w:color w:val="auto"/>
                <w:sz w:val="24"/>
                <w:highlight w:val="none"/>
              </w:rPr>
              <w:t>）、小家鼠（</w:t>
            </w:r>
            <w:r>
              <w:rPr>
                <w:rFonts w:hint="default" w:ascii="Times New Roman" w:hAnsi="Times New Roman" w:eastAsia="宋体" w:cs="Times New Roman"/>
                <w:bCs/>
                <w:i/>
                <w:color w:val="auto"/>
                <w:sz w:val="24"/>
                <w:highlight w:val="none"/>
              </w:rPr>
              <w:t>Mus musculus</w:t>
            </w:r>
            <w:r>
              <w:rPr>
                <w:rFonts w:hint="default" w:ascii="Times New Roman" w:hAnsi="Times New Roman" w:eastAsia="宋体" w:cs="Times New Roman"/>
                <w:bCs/>
                <w:color w:val="auto"/>
                <w:sz w:val="24"/>
                <w:highlight w:val="none"/>
              </w:rPr>
              <w:t>）、黄胸鼠（</w:t>
            </w:r>
            <w:r>
              <w:rPr>
                <w:rFonts w:hint="default" w:ascii="Times New Roman" w:hAnsi="Times New Roman" w:eastAsia="宋体" w:cs="Times New Roman"/>
                <w:bCs/>
                <w:i/>
                <w:color w:val="auto"/>
                <w:sz w:val="24"/>
                <w:highlight w:val="none"/>
              </w:rPr>
              <w:t>Rattus flavipectus</w:t>
            </w:r>
            <w:r>
              <w:rPr>
                <w:rFonts w:hint="default" w:ascii="Times New Roman" w:hAnsi="Times New Roman" w:eastAsia="宋体" w:cs="Times New Roman"/>
                <w:bCs/>
                <w:color w:val="auto"/>
                <w:sz w:val="24"/>
                <w:highlight w:val="none"/>
              </w:rPr>
              <w:t>）、社鼠（</w:t>
            </w:r>
            <w:r>
              <w:rPr>
                <w:rFonts w:hint="default" w:ascii="Times New Roman" w:hAnsi="Times New Roman" w:eastAsia="宋体" w:cs="Times New Roman"/>
                <w:bCs/>
                <w:i/>
                <w:color w:val="auto"/>
                <w:sz w:val="24"/>
                <w:highlight w:val="none"/>
              </w:rPr>
              <w:t>Rattus niviventer</w:t>
            </w:r>
            <w:r>
              <w:rPr>
                <w:rFonts w:hint="default" w:ascii="Times New Roman" w:hAnsi="Times New Roman" w:eastAsia="宋体" w:cs="Times New Roman"/>
                <w:bCs/>
                <w:color w:val="auto"/>
                <w:sz w:val="24"/>
                <w:highlight w:val="none"/>
              </w:rPr>
              <w:t>）、黄鼬</w:t>
            </w:r>
            <w:r>
              <w:rPr>
                <w:rFonts w:hint="default" w:ascii="Times New Roman" w:hAnsi="Times New Roman" w:eastAsia="宋体" w:cs="Times New Roman"/>
                <w:bCs/>
                <w:i/>
                <w:iCs/>
                <w:color w:val="auto"/>
                <w:sz w:val="24"/>
                <w:highlight w:val="none"/>
              </w:rPr>
              <w:t>Mustela sibirica</w:t>
            </w:r>
            <w:r>
              <w:rPr>
                <w:rFonts w:hint="default" w:ascii="Times New Roman" w:hAnsi="Times New Roman" w:eastAsia="宋体" w:cs="Times New Roman"/>
                <w:color w:val="auto"/>
                <w:sz w:val="24"/>
                <w:szCs w:val="24"/>
                <w:highlight w:val="none"/>
              </w:rPr>
              <w:t>等，鸟类</w:t>
            </w:r>
            <w:r>
              <w:rPr>
                <w:rFonts w:hint="default" w:ascii="Times New Roman" w:hAnsi="Times New Roman" w:eastAsia="宋体" w:cs="Times New Roman"/>
                <w:color w:val="auto"/>
                <w:sz w:val="24"/>
                <w:szCs w:val="24"/>
                <w:highlight w:val="none"/>
                <w:lang w:val="en-US" w:eastAsia="zh-CN"/>
              </w:rPr>
              <w:t>有如</w:t>
            </w:r>
            <w:r>
              <w:rPr>
                <w:rFonts w:hint="default" w:ascii="Times New Roman" w:hAnsi="Times New Roman" w:eastAsia="宋体" w:cs="Times New Roman"/>
                <w:color w:val="auto"/>
                <w:sz w:val="24"/>
                <w:szCs w:val="24"/>
                <w:highlight w:val="none"/>
              </w:rPr>
              <w:t xml:space="preserve">黄臀鹎 </w:t>
            </w:r>
            <w:r>
              <w:rPr>
                <w:rFonts w:hint="default" w:ascii="Times New Roman" w:hAnsi="Times New Roman" w:eastAsia="宋体" w:cs="Times New Roman"/>
                <w:i/>
                <w:iCs/>
                <w:color w:val="auto"/>
                <w:sz w:val="24"/>
                <w:szCs w:val="24"/>
                <w:highlight w:val="none"/>
              </w:rPr>
              <w:t>Pycnonotus ×anthorrhous</w:t>
            </w:r>
            <w:r>
              <w:rPr>
                <w:rFonts w:hint="default" w:ascii="Times New Roman" w:hAnsi="Times New Roman" w:eastAsia="宋体" w:cs="Times New Roman"/>
                <w:color w:val="auto"/>
                <w:sz w:val="24"/>
                <w:szCs w:val="24"/>
                <w:highlight w:val="none"/>
              </w:rPr>
              <w:t>、小云雀</w:t>
            </w:r>
            <w:r>
              <w:rPr>
                <w:rFonts w:hint="default" w:ascii="Times New Roman" w:hAnsi="Times New Roman" w:eastAsia="宋体" w:cs="Times New Roman"/>
                <w:i/>
                <w:iCs/>
                <w:color w:val="auto"/>
                <w:sz w:val="24"/>
                <w:szCs w:val="24"/>
                <w:highlight w:val="none"/>
              </w:rPr>
              <w:t>Alauda gulgula</w:t>
            </w:r>
            <w:r>
              <w:rPr>
                <w:rFonts w:hint="default" w:ascii="Times New Roman" w:hAnsi="Times New Roman" w:eastAsia="宋体" w:cs="Times New Roman"/>
                <w:color w:val="auto"/>
                <w:sz w:val="24"/>
                <w:szCs w:val="24"/>
                <w:highlight w:val="none"/>
              </w:rPr>
              <w:t>、树麻雀</w:t>
            </w:r>
            <w:r>
              <w:rPr>
                <w:rFonts w:hint="default" w:ascii="Times New Roman" w:hAnsi="Times New Roman" w:eastAsia="宋体" w:cs="Times New Roman"/>
                <w:i/>
                <w:iCs/>
                <w:color w:val="auto"/>
                <w:sz w:val="24"/>
                <w:szCs w:val="24"/>
                <w:highlight w:val="none"/>
              </w:rPr>
              <w:t>Passer montanus</w:t>
            </w:r>
            <w:r>
              <w:rPr>
                <w:rFonts w:hint="default" w:ascii="Times New Roman" w:hAnsi="Times New Roman" w:eastAsia="宋体" w:cs="Times New Roman"/>
                <w:color w:val="auto"/>
                <w:sz w:val="24"/>
                <w:szCs w:val="24"/>
                <w:highlight w:val="none"/>
              </w:rPr>
              <w:t>等。</w:t>
            </w:r>
          </w:p>
          <w:p w14:paraId="356EE97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highlight w:val="none"/>
                <w:lang w:val="en-US" w:eastAsia="zh-CN"/>
              </w:rPr>
              <w:t>同时结合</w:t>
            </w:r>
            <w:r>
              <w:rPr>
                <w:rFonts w:hint="default" w:ascii="Times New Roman" w:hAnsi="Times New Roman" w:eastAsia="宋体" w:cs="Times New Roman"/>
                <w:color w:val="auto"/>
                <w:sz w:val="24"/>
                <w:szCs w:val="24"/>
                <w:highlight w:val="none"/>
                <w:lang w:val="en-US" w:eastAsia="zh-CN"/>
              </w:rPr>
              <w:t>《中清能禄劝县岩子头200MW生态修复光伏电站项目环境影响报告表》及</w:t>
            </w:r>
            <w:r>
              <w:rPr>
                <w:rFonts w:hint="default" w:ascii="Times New Roman" w:hAnsi="Times New Roman" w:eastAsia="宋体" w:cs="Times New Roman"/>
                <w:color w:val="auto"/>
                <w:sz w:val="24"/>
                <w:szCs w:val="24"/>
                <w:highlight w:val="none"/>
              </w:rPr>
              <w:t>现场调查情况，并查阅《国家重点保护野生动物名录》(2021年)、《中国脊椎动物红色名录》(2016年)、《世界自然保护联盟濒危物种红色名录》(2016年)、《濒危野生动植物种国际贸易公约附录物种名录》(2016年)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《云南省省级保护陆生野生动物名录》等资料，</w:t>
            </w:r>
            <w:r>
              <w:rPr>
                <w:rFonts w:hint="default" w:ascii="Times New Roman" w:hAnsi="Times New Roman" w:eastAsia="宋体" w:cs="Times New Roman"/>
                <w:color w:val="auto"/>
                <w:sz w:val="24"/>
                <w:szCs w:val="24"/>
                <w:highlight w:val="none"/>
                <w:lang w:val="en-US" w:eastAsia="zh-CN"/>
              </w:rPr>
              <w:t>本次评价范围内</w:t>
            </w:r>
            <w:r>
              <w:rPr>
                <w:rFonts w:hint="default" w:ascii="Times New Roman" w:hAnsi="Times New Roman" w:eastAsia="宋体" w:cs="Times New Roman"/>
                <w:color w:val="auto"/>
                <w:spacing w:val="-4"/>
                <w:sz w:val="24"/>
                <w:szCs w:val="24"/>
                <w:highlight w:val="none"/>
              </w:rPr>
              <w:t>无国家级和云南省级重点保护野生动物分</w:t>
            </w:r>
            <w:r>
              <w:rPr>
                <w:rFonts w:hint="default" w:ascii="Times New Roman" w:hAnsi="Times New Roman" w:eastAsia="宋体" w:cs="Times New Roman"/>
                <w:color w:val="auto"/>
                <w:sz w:val="24"/>
                <w:szCs w:val="24"/>
                <w:highlight w:val="none"/>
              </w:rPr>
              <w:t>布；也无珍稀濒危动物分布。</w:t>
            </w:r>
            <w:r>
              <w:rPr>
                <w:rFonts w:hint="default" w:ascii="Times New Roman" w:hAnsi="Times New Roman" w:eastAsia="宋体" w:cs="Times New Roman"/>
                <w:b w:val="0"/>
                <w:bCs w:val="0"/>
                <w:color w:val="auto"/>
                <w:sz w:val="24"/>
                <w:szCs w:val="24"/>
                <w:highlight w:val="none"/>
              </w:rPr>
              <w:t>根据国家林业和草原局公告《陆生野生动物重要栖息地名录（第一批）》（2023年第23号），</w:t>
            </w:r>
            <w:r>
              <w:rPr>
                <w:rFonts w:hint="default" w:ascii="Times New Roman" w:hAnsi="Times New Roman" w:eastAsia="宋体" w:cs="Times New Roman"/>
                <w:b w:val="0"/>
                <w:bCs w:val="0"/>
                <w:color w:val="auto"/>
                <w:sz w:val="24"/>
                <w:szCs w:val="24"/>
                <w:highlight w:val="none"/>
                <w:lang w:val="en-US" w:eastAsia="zh-CN"/>
              </w:rPr>
              <w:t>工程评价区</w:t>
            </w:r>
            <w:r>
              <w:rPr>
                <w:rFonts w:hint="default" w:ascii="Times New Roman" w:hAnsi="Times New Roman" w:eastAsia="宋体" w:cs="Times New Roman"/>
                <w:b w:val="0"/>
                <w:bCs w:val="0"/>
                <w:color w:val="auto"/>
                <w:sz w:val="24"/>
                <w:szCs w:val="24"/>
                <w:highlight w:val="none"/>
              </w:rPr>
              <w:t>不涉及该名录中的陆生野生动物重要栖息地。</w:t>
            </w:r>
          </w:p>
          <w:p w14:paraId="24D61797">
            <w:pPr>
              <w:spacing w:line="360" w:lineRule="auto"/>
              <w:ind w:firstLine="480" w:firstLineChars="200"/>
              <w:jc w:val="left"/>
              <w:rPr>
                <w:rFonts w:hint="default" w:ascii="Times New Roman" w:hAnsi="Times New Roman" w:eastAsia="宋体" w:cs="Times New Roman"/>
                <w:caps w:val="0"/>
                <w:color w:val="auto"/>
                <w:sz w:val="24"/>
                <w:highlight w:val="none"/>
                <w:lang w:val="en-US" w:eastAsia="zh-CN"/>
              </w:rPr>
            </w:pPr>
            <w:r>
              <w:rPr>
                <w:rFonts w:hint="default" w:ascii="Times New Roman" w:hAnsi="Times New Roman" w:eastAsia="宋体" w:cs="Times New Roman"/>
                <w:caps w:val="0"/>
                <w:color w:val="auto"/>
                <w:sz w:val="24"/>
                <w:highlight w:val="none"/>
                <w:lang w:val="en-US" w:eastAsia="zh-CN"/>
              </w:rPr>
              <w:t>同时，</w:t>
            </w:r>
            <w:r>
              <w:rPr>
                <w:rFonts w:hint="default" w:ascii="Times New Roman" w:hAnsi="Times New Roman" w:eastAsia="宋体" w:cs="Times New Roman"/>
                <w:caps w:val="0"/>
                <w:color w:val="auto"/>
                <w:sz w:val="24"/>
                <w:highlight w:val="none"/>
                <w:lang w:eastAsia="zh-CN"/>
              </w:rPr>
              <w:t>根据云南省林业和草原局公告</w:t>
            </w:r>
            <w:r>
              <w:rPr>
                <w:rFonts w:hint="default" w:ascii="Times New Roman" w:hAnsi="Times New Roman" w:eastAsia="宋体" w:cs="Times New Roman"/>
                <w:caps w:val="0"/>
                <w:color w:val="auto"/>
                <w:sz w:val="24"/>
                <w:highlight w:val="none"/>
              </w:rPr>
              <w:t>《云南省候鸟迁徙通道重点区域范围（第一批）》</w:t>
            </w:r>
            <w:r>
              <w:rPr>
                <w:rFonts w:hint="default" w:ascii="Times New Roman" w:hAnsi="Times New Roman" w:eastAsia="宋体" w:cs="Times New Roman"/>
                <w:caps w:val="0"/>
                <w:color w:val="auto"/>
                <w:sz w:val="24"/>
                <w:highlight w:val="none"/>
                <w:lang w:eastAsia="zh-CN"/>
              </w:rPr>
              <w:t>（2023年第10号），针对夜间迁飞候鸟保护需要，公布第一批云南省候鸟迁徙通道重要地点保护范围，公布地点主要为昭通市永善县，玉溪市新平彝族傣族自治县，楚雄彝族自治州南华县，大理白族自治州洱源县、南涧县、巍山彝族回族自治县、弥渡县，普洱市镇沅彝族哈尼族拉祜族自治县，红河哈尼族彝族自治州绿春县、开远市，文山壮族苗族自治州富宁县、砚山县等7个州（市）12县（市）10处候鸟迁徙通道重要地点。</w:t>
            </w:r>
            <w:r>
              <w:rPr>
                <w:rFonts w:hint="default" w:ascii="Times New Roman" w:hAnsi="Times New Roman" w:eastAsia="宋体" w:cs="Times New Roman"/>
                <w:caps w:val="0"/>
                <w:color w:val="auto"/>
                <w:sz w:val="24"/>
                <w:highlight w:val="none"/>
                <w:lang w:val="en-US" w:eastAsia="zh-CN"/>
              </w:rPr>
              <w:t xml:space="preserve"> </w:t>
            </w:r>
          </w:p>
          <w:p w14:paraId="1EEAF7F8">
            <w:pPr>
              <w:spacing w:line="360" w:lineRule="auto"/>
              <w:ind w:firstLine="480" w:firstLineChars="20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aps w:val="0"/>
                <w:color w:val="auto"/>
                <w:sz w:val="24"/>
                <w:highlight w:val="none"/>
                <w:lang w:eastAsia="zh-CN"/>
              </w:rPr>
              <w:t>本项目</w:t>
            </w:r>
            <w:r>
              <w:rPr>
                <w:rFonts w:hint="default" w:ascii="Times New Roman" w:hAnsi="Times New Roman" w:eastAsia="宋体" w:cs="Times New Roman"/>
                <w:caps w:val="0"/>
                <w:color w:val="auto"/>
                <w:sz w:val="24"/>
                <w:highlight w:val="none"/>
                <w:lang w:val="en-US" w:eastAsia="zh-CN"/>
              </w:rPr>
              <w:t>升压站位于</w:t>
            </w:r>
            <w:r>
              <w:rPr>
                <w:rFonts w:hint="default" w:ascii="Times New Roman" w:hAnsi="Times New Roman" w:eastAsia="宋体" w:cs="Times New Roman"/>
                <w:color w:val="auto"/>
                <w:sz w:val="24"/>
                <w:szCs w:val="24"/>
                <w:highlight w:val="none"/>
                <w:u w:val="none"/>
                <w:lang w:eastAsia="zh-CN"/>
              </w:rPr>
              <w:t>昆明市禄劝县团街镇</w:t>
            </w:r>
            <w:r>
              <w:rPr>
                <w:rFonts w:hint="default" w:ascii="Times New Roman" w:hAnsi="Times New Roman" w:eastAsia="宋体" w:cs="Times New Roman"/>
                <w:color w:val="auto"/>
                <w:sz w:val="24"/>
                <w:szCs w:val="24"/>
                <w:highlight w:val="none"/>
                <w:u w:val="none"/>
                <w:lang w:val="en-US" w:eastAsia="zh-CN"/>
              </w:rPr>
              <w:t>境内</w:t>
            </w:r>
            <w:r>
              <w:rPr>
                <w:rFonts w:hint="default" w:ascii="Times New Roman" w:hAnsi="Times New Roman" w:eastAsia="宋体" w:cs="Times New Roman"/>
                <w:caps w:val="0"/>
                <w:color w:val="auto"/>
                <w:sz w:val="24"/>
                <w:highlight w:val="none"/>
                <w:lang w:val="en-US" w:eastAsia="zh-CN"/>
              </w:rPr>
              <w:t>，距离以上地点较远，不涉及上述候鸟迁徙通道重要地点保护范围</w:t>
            </w:r>
            <w:r>
              <w:rPr>
                <w:rFonts w:hint="default" w:ascii="Times New Roman" w:hAnsi="Times New Roman" w:eastAsia="宋体" w:cs="Times New Roman"/>
                <w:caps w:val="0"/>
                <w:color w:val="auto"/>
                <w:sz w:val="24"/>
                <w:highlight w:val="none"/>
                <w:lang w:eastAsia="zh-CN"/>
              </w:rPr>
              <w:t>。</w:t>
            </w:r>
          </w:p>
          <w:p w14:paraId="2C9EA981">
            <w:pPr>
              <w:keepNext w:val="0"/>
              <w:keepLines w:val="0"/>
              <w:pageBreakBefore w:val="0"/>
              <w:widowControl w:val="0"/>
              <w:tabs>
                <w:tab w:val="center" w:pos="4393"/>
              </w:tabs>
              <w:kinsoku/>
              <w:wordWrap/>
              <w:overflowPunct/>
              <w:topLinePunct w:val="0"/>
              <w:autoSpaceDE/>
              <w:autoSpaceDN/>
              <w:bidi w:val="0"/>
              <w:adjustRightInd/>
              <w:snapToGrid/>
              <w:spacing w:line="360" w:lineRule="auto"/>
              <w:ind w:right="0" w:rightChars="0"/>
              <w:jc w:val="both"/>
              <w:textAlignment w:val="auto"/>
              <w:outlineLvl w:val="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5.6</w:t>
            </w:r>
            <w:r>
              <w:rPr>
                <w:rFonts w:hint="default" w:ascii="Times New Roman" w:hAnsi="Times New Roman" w:eastAsia="宋体" w:cs="Times New Roman"/>
                <w:b/>
                <w:bCs/>
                <w:color w:val="auto"/>
                <w:sz w:val="24"/>
                <w:szCs w:val="24"/>
                <w:highlight w:val="none"/>
              </w:rPr>
              <w:t>主要生态环境问题</w:t>
            </w:r>
          </w:p>
          <w:p w14:paraId="18452E93">
            <w:pPr>
              <w:keepNext w:val="0"/>
              <w:keepLines w:val="0"/>
              <w:pageBreakBefore w:val="0"/>
              <w:widowControl w:val="0"/>
              <w:tabs>
                <w:tab w:val="center" w:pos="4393"/>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3"/>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项目区域人类活动频繁，自然植被长期受到人类活动的干扰，原生植被目前已</w:t>
            </w:r>
            <w:r>
              <w:rPr>
                <w:rFonts w:hint="default" w:ascii="Times New Roman" w:hAnsi="Times New Roman" w:eastAsia="宋体" w:cs="Times New Roman"/>
                <w:b w:val="0"/>
                <w:bCs w:val="0"/>
                <w:color w:val="auto"/>
                <w:sz w:val="24"/>
                <w:szCs w:val="24"/>
                <w:highlight w:val="none"/>
                <w:lang w:val="en-US" w:eastAsia="zh-CN"/>
              </w:rPr>
              <w:t>大部分</w:t>
            </w:r>
            <w:r>
              <w:rPr>
                <w:rFonts w:hint="default" w:ascii="Times New Roman" w:hAnsi="Times New Roman" w:eastAsia="宋体" w:cs="Times New Roman"/>
                <w:b w:val="0"/>
                <w:bCs w:val="0"/>
                <w:color w:val="auto"/>
                <w:sz w:val="24"/>
                <w:szCs w:val="24"/>
                <w:highlight w:val="none"/>
              </w:rPr>
              <w:t>遭破坏，</w:t>
            </w:r>
            <w:r>
              <w:rPr>
                <w:rFonts w:hint="default" w:ascii="Times New Roman" w:hAnsi="Times New Roman" w:eastAsia="宋体" w:cs="Times New Roman"/>
                <w:b w:val="0"/>
                <w:bCs w:val="0"/>
                <w:color w:val="auto"/>
                <w:sz w:val="24"/>
                <w:szCs w:val="24"/>
                <w:highlight w:val="none"/>
                <w:lang w:val="en-US" w:eastAsia="zh-CN"/>
              </w:rPr>
              <w:t>多</w:t>
            </w:r>
            <w:r>
              <w:rPr>
                <w:rFonts w:hint="default" w:ascii="Times New Roman" w:hAnsi="Times New Roman" w:eastAsia="宋体" w:cs="Times New Roman"/>
                <w:b w:val="0"/>
                <w:bCs w:val="0"/>
                <w:color w:val="auto"/>
                <w:sz w:val="24"/>
                <w:szCs w:val="24"/>
                <w:highlight w:val="none"/>
              </w:rPr>
              <w:t>为次生植被，原生植被基本消失，区内水土流失以轻度水力侵蚀为主。</w:t>
            </w:r>
          </w:p>
          <w:p w14:paraId="21578CEE">
            <w:pPr>
              <w:keepNext w:val="0"/>
              <w:keepLines w:val="0"/>
              <w:pageBreakBefore w:val="0"/>
              <w:kinsoku/>
              <w:wordWrap/>
              <w:overflowPunct/>
              <w:topLinePunct w:val="0"/>
              <w:autoSpaceDE/>
              <w:autoSpaceDN/>
              <w:bidi w:val="0"/>
              <w:snapToGrid/>
              <w:spacing w:line="360" w:lineRule="auto"/>
              <w:textAlignment w:val="auto"/>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地下水环境</w:t>
            </w:r>
            <w:r>
              <w:rPr>
                <w:rFonts w:hint="default" w:ascii="Times New Roman" w:hAnsi="Times New Roman" w:eastAsia="宋体" w:cs="Times New Roman"/>
                <w:b/>
                <w:bCs/>
                <w:color w:val="auto"/>
                <w:sz w:val="24"/>
                <w:highlight w:val="none"/>
                <w:lang w:val="en-US" w:eastAsia="zh-CN"/>
              </w:rPr>
              <w:t>及土壤环境现状</w:t>
            </w:r>
          </w:p>
          <w:p w14:paraId="74D92D09">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为输电线路</w:t>
            </w:r>
            <w:r>
              <w:rPr>
                <w:rFonts w:hint="default" w:ascii="Times New Roman" w:hAnsi="Times New Roman" w:eastAsia="宋体" w:cs="Times New Roman"/>
                <w:bCs/>
                <w:color w:val="auto"/>
                <w:sz w:val="24"/>
                <w:highlight w:val="none"/>
              </w:rPr>
              <w:t>工程，</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bCs/>
                <w:color w:val="auto"/>
                <w:sz w:val="24"/>
                <w:highlight w:val="none"/>
              </w:rPr>
              <w:t>《环境影响评价技术导则地下水环境》（HJ610-2016）附录A地下水环境影响评价行业分类表，</w:t>
            </w:r>
            <w:r>
              <w:rPr>
                <w:rFonts w:hint="default"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rPr>
              <w:t>项目类别属于Ⅳ类建设项目，可不开展地下水环境影响评价</w:t>
            </w:r>
            <w:r>
              <w:rPr>
                <w:rFonts w:hint="default" w:ascii="Times New Roman" w:hAnsi="Times New Roman" w:eastAsia="宋体" w:cs="Times New Roman"/>
                <w:color w:val="auto"/>
                <w:sz w:val="24"/>
                <w:highlight w:val="none"/>
              </w:rPr>
              <w:t>。</w:t>
            </w:r>
          </w:p>
          <w:p w14:paraId="7BE288BF">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环境影响评价技术导则土壤环境（试行）</w:t>
            </w:r>
            <w:r>
              <w:rPr>
                <w:rFonts w:hint="default" w:ascii="Times New Roman" w:hAnsi="Times New Roman" w:eastAsia="宋体" w:cs="Times New Roman"/>
                <w:color w:val="auto"/>
                <w:sz w:val="24"/>
                <w:highlight w:val="none"/>
              </w:rPr>
              <w:t>》（HJ964-2018）附录A确定本项目所属的土壤环境影响评价项目类别为Ⅳ类，项目可不开展土壤环境影响评价。</w:t>
            </w:r>
          </w:p>
        </w:tc>
      </w:tr>
      <w:tr w14:paraId="70984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39" w:type="dxa"/>
            <w:vAlign w:val="center"/>
          </w:tcPr>
          <w:p w14:paraId="5E85A748">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rPr>
                <w:rFonts w:hint="default" w:ascii="Times New Roman" w:hAnsi="Times New Roman" w:eastAsia="宋体" w:cs="Times New Roman"/>
                <w:b/>
                <w:bCs/>
                <w:color w:val="auto"/>
                <w:sz w:val="24"/>
                <w:highlight w:val="none"/>
              </w:rPr>
            </w:pPr>
          </w:p>
          <w:p w14:paraId="1A255266">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与项目有关的原有环境污染和生态破坏问题</w:t>
            </w:r>
          </w:p>
        </w:tc>
        <w:tc>
          <w:tcPr>
            <w:tcW w:w="8105" w:type="dxa"/>
            <w:vAlign w:val="top"/>
          </w:tcPr>
          <w:p w14:paraId="36FC6A30">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一、与本项目有关工程相关环保手续</w:t>
            </w:r>
          </w:p>
          <w:p w14:paraId="0C8FE647">
            <w:pPr>
              <w:spacing w:line="360" w:lineRule="auto"/>
              <w:ind w:firstLine="480" w:firstLineChars="200"/>
              <w:rPr>
                <w:rFonts w:hint="default" w:ascii="Times New Roman" w:hAnsi="Times New Roman" w:eastAsia="宋体" w:cs="Times New Roman"/>
                <w:color w:val="auto"/>
                <w:highlight w:val="none"/>
                <w:lang w:val="en-US" w:eastAsia="zh-CN"/>
              </w:rPr>
            </w:pPr>
            <w:r>
              <w:rPr>
                <w:rFonts w:hint="eastAsia" w:cs="Times New Roman"/>
                <w:b w:val="0"/>
                <w:bCs w:val="0"/>
                <w:color w:val="auto"/>
                <w:kern w:val="0"/>
                <w:sz w:val="24"/>
                <w:szCs w:val="24"/>
                <w:highlight w:val="none"/>
                <w:lang w:val="en-US" w:eastAsia="zh-CN" w:bidi="ar-SA"/>
              </w:rPr>
              <w:t>岩子头生态修复光伏电站220kV升压站</w:t>
            </w:r>
            <w:r>
              <w:rPr>
                <w:rFonts w:hint="default" w:ascii="Times New Roman" w:hAnsi="Times New Roman" w:eastAsia="宋体" w:cs="Times New Roman"/>
                <w:color w:val="auto"/>
                <w:sz w:val="24"/>
                <w:highlight w:val="none"/>
                <w:lang w:val="en-US" w:eastAsia="zh-CN"/>
              </w:rPr>
              <w:t>位于昆明市禄劝县团街镇境内，</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kern w:val="0"/>
                <w:sz w:val="24"/>
                <w:szCs w:val="24"/>
                <w:highlight w:val="none"/>
                <w:lang w:val="en-US" w:eastAsia="zh-CN"/>
              </w:rPr>
              <w:t>。2023年6月，禄劝万佳光伏发电有限公司委托云南建环环保科技有限公司编制《</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》，并于2023年11月2日取得昆明市生态环境局禄劝分局关于《</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环境影响报告表的批复</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禄生环复〔2023〕17号</w:t>
            </w:r>
            <w:r>
              <w:rPr>
                <w:rFonts w:hint="default" w:ascii="Times New Roman" w:hAnsi="Times New Roman" w:eastAsia="宋体" w:cs="Times New Roman"/>
                <w:color w:val="auto"/>
                <w:kern w:val="0"/>
                <w:sz w:val="24"/>
                <w:szCs w:val="24"/>
                <w:highlight w:val="none"/>
                <w:lang w:val="en-US" w:eastAsia="zh-CN"/>
              </w:rPr>
              <w:t>）（详见附件8），</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环境影响评价阶段已包含本次评价220kV升压站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内容，且</w:t>
            </w: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升压站建设施工期和营运期的废水、废气、噪声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生态环境及环境风险</w:t>
            </w:r>
            <w:r>
              <w:rPr>
                <w:rFonts w:hint="default" w:ascii="Times New Roman" w:hAnsi="Times New Roman" w:eastAsia="宋体" w:cs="Times New Roman"/>
                <w:color w:val="auto"/>
                <w:sz w:val="24"/>
                <w:szCs w:val="22"/>
                <w:highlight w:val="none"/>
              </w:rPr>
              <w:t>的</w:t>
            </w:r>
            <w:r>
              <w:rPr>
                <w:rFonts w:hint="default" w:ascii="Times New Roman" w:hAnsi="Times New Roman" w:eastAsia="宋体" w:cs="Times New Roman"/>
                <w:color w:val="auto"/>
                <w:sz w:val="24"/>
                <w:szCs w:val="22"/>
                <w:highlight w:val="none"/>
                <w:lang w:val="en-US" w:eastAsia="zh-CN"/>
              </w:rPr>
              <w:t>相关影响分析及</w:t>
            </w:r>
            <w:r>
              <w:rPr>
                <w:rFonts w:hint="default" w:ascii="Times New Roman" w:hAnsi="Times New Roman" w:eastAsia="宋体" w:cs="Times New Roman"/>
                <w:color w:val="auto"/>
                <w:sz w:val="24"/>
                <w:szCs w:val="22"/>
                <w:highlight w:val="none"/>
              </w:rPr>
              <w:t>治理措施已在《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环境影响报告表》中进行阐述分析</w:t>
            </w:r>
            <w:r>
              <w:rPr>
                <w:rFonts w:hint="default" w:ascii="Times New Roman" w:hAnsi="Times New Roman" w:eastAsia="宋体" w:cs="Times New Roman"/>
                <w:color w:val="auto"/>
                <w:kern w:val="0"/>
                <w:sz w:val="24"/>
                <w:szCs w:val="24"/>
                <w:highlight w:val="none"/>
                <w:lang w:val="en-US" w:eastAsia="zh-CN"/>
              </w:rPr>
              <w:t>。根据调查，</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已建设完工并于2024年6月投入试运行，</w:t>
            </w:r>
            <w:r>
              <w:rPr>
                <w:rFonts w:hint="default" w:ascii="Times New Roman" w:hAnsi="Times New Roman" w:eastAsia="宋体" w:cs="Times New Roman"/>
                <w:color w:val="auto"/>
                <w:kern w:val="0"/>
                <w:sz w:val="24"/>
                <w:szCs w:val="24"/>
                <w:highlight w:val="none"/>
                <w:lang w:val="en-US" w:eastAsia="zh-CN"/>
              </w:rPr>
              <w:t>目前</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正在开展中竣工环境保护验收工作</w:t>
            </w:r>
            <w:r>
              <w:rPr>
                <w:rFonts w:hint="default" w:ascii="Times New Roman" w:hAnsi="Times New Roman" w:eastAsia="宋体" w:cs="Times New Roman"/>
                <w:color w:val="auto"/>
                <w:kern w:val="0"/>
                <w:sz w:val="24"/>
                <w:szCs w:val="24"/>
                <w:highlight w:val="none"/>
                <w:lang w:val="en-US" w:eastAsia="zh-CN"/>
              </w:rPr>
              <w:t>。</w:t>
            </w:r>
          </w:p>
          <w:p w14:paraId="558238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aps w:val="0"/>
                <w:color w:val="auto"/>
                <w:spacing w:val="-6"/>
                <w:sz w:val="24"/>
                <w:szCs w:val="28"/>
                <w:highlight w:val="none"/>
                <w:lang w:val="en-US" w:eastAsia="zh-CN"/>
              </w:rPr>
              <w:t>二、</w:t>
            </w:r>
            <w:r>
              <w:rPr>
                <w:rFonts w:hint="default" w:ascii="Times New Roman" w:hAnsi="Times New Roman" w:eastAsia="宋体" w:cs="Times New Roman"/>
                <w:b/>
                <w:bCs w:val="0"/>
                <w:caps w:val="0"/>
                <w:color w:val="auto"/>
                <w:spacing w:val="-6"/>
                <w:sz w:val="24"/>
                <w:szCs w:val="28"/>
                <w:highlight w:val="none"/>
                <w:lang w:eastAsia="zh-CN"/>
              </w:rPr>
              <w:t>与本工程有关的原有污染情况</w:t>
            </w:r>
          </w:p>
          <w:p w14:paraId="3134AE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val="0"/>
                <w:caps w:val="0"/>
                <w:color w:val="auto"/>
                <w:spacing w:val="-6"/>
                <w:sz w:val="24"/>
                <w:szCs w:val="28"/>
                <w:highlight w:val="none"/>
                <w:lang w:eastAsia="zh-CN"/>
              </w:rPr>
            </w:pPr>
            <w:r>
              <w:rPr>
                <w:rFonts w:hint="eastAsia" w:cs="Times New Roman"/>
                <w:b w:val="0"/>
                <w:bCs w:val="0"/>
                <w:color w:val="auto"/>
                <w:kern w:val="0"/>
                <w:sz w:val="24"/>
                <w:szCs w:val="24"/>
                <w:highlight w:val="none"/>
                <w:lang w:val="en-US" w:eastAsia="zh-CN" w:bidi="ar-SA"/>
              </w:rPr>
              <w:t>岩子头生态修复光伏电站220kV升压站</w:t>
            </w:r>
            <w:r>
              <w:rPr>
                <w:rFonts w:hint="default" w:ascii="Times New Roman" w:hAnsi="Times New Roman" w:eastAsia="宋体" w:cs="Times New Roman"/>
                <w:b w:val="0"/>
                <w:bCs w:val="0"/>
                <w:color w:val="auto"/>
                <w:kern w:val="0"/>
                <w:sz w:val="24"/>
                <w:szCs w:val="24"/>
                <w:highlight w:val="none"/>
                <w:lang w:val="en-US" w:eastAsia="zh-CN" w:bidi="ar-SA"/>
              </w:rPr>
              <w:t>已建设完工，</w:t>
            </w: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升压站建设施工期和营运期的废水、废气、噪声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生态环境影响及环境风险</w:t>
            </w:r>
            <w:r>
              <w:rPr>
                <w:rFonts w:hint="default" w:ascii="Times New Roman" w:hAnsi="Times New Roman" w:eastAsia="宋体" w:cs="Times New Roman"/>
                <w:color w:val="auto"/>
                <w:sz w:val="24"/>
                <w:szCs w:val="22"/>
                <w:highlight w:val="none"/>
              </w:rPr>
              <w:t>的</w:t>
            </w:r>
            <w:r>
              <w:rPr>
                <w:rFonts w:hint="default" w:ascii="Times New Roman" w:hAnsi="Times New Roman" w:eastAsia="宋体" w:cs="Times New Roman"/>
                <w:color w:val="auto"/>
                <w:sz w:val="24"/>
                <w:szCs w:val="22"/>
                <w:highlight w:val="none"/>
                <w:lang w:val="en-US" w:eastAsia="zh-CN"/>
              </w:rPr>
              <w:t>相关影响分析及</w:t>
            </w:r>
            <w:r>
              <w:rPr>
                <w:rFonts w:hint="default" w:ascii="Times New Roman" w:hAnsi="Times New Roman" w:eastAsia="宋体" w:cs="Times New Roman"/>
                <w:color w:val="auto"/>
                <w:sz w:val="24"/>
                <w:szCs w:val="22"/>
                <w:highlight w:val="none"/>
              </w:rPr>
              <w:t>治理措施已在《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环境影响报告表》中进行阐述分析，</w:t>
            </w:r>
            <w:r>
              <w:rPr>
                <w:rFonts w:hint="default" w:ascii="Times New Roman" w:hAnsi="Times New Roman" w:eastAsia="宋体" w:cs="Times New Roman"/>
                <w:color w:val="auto"/>
                <w:sz w:val="24"/>
                <w:szCs w:val="22"/>
                <w:highlight w:val="none"/>
                <w:lang w:val="en-US" w:eastAsia="zh-CN"/>
              </w:rPr>
              <w:t>现升压站施工期已结束，施工期影响已随施工期的结束而消失，无环境遗留问题，也未发生过相关环保投诉事件；根据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升压站运营期污染主要包括废气、废水、噪声及固废</w:t>
            </w:r>
            <w:r>
              <w:rPr>
                <w:rFonts w:hint="default" w:ascii="Times New Roman" w:hAnsi="Times New Roman" w:eastAsia="宋体" w:cs="Times New Roman"/>
                <w:color w:val="auto"/>
                <w:sz w:val="24"/>
                <w:szCs w:val="24"/>
                <w:highlight w:val="none"/>
                <w:lang w:val="en-US" w:eastAsia="zh-CN"/>
              </w:rPr>
              <w:t>。</w:t>
            </w:r>
          </w:p>
          <w:p w14:paraId="385CEEC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废气</w:t>
            </w:r>
          </w:p>
          <w:p w14:paraId="0D7EEC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 xml:space="preserve">    升压站运营期设置有食堂为职工提供餐饮，根据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w:t>
            </w:r>
            <w:r>
              <w:rPr>
                <w:rFonts w:hint="default" w:ascii="Times New Roman" w:hAnsi="Times New Roman" w:eastAsia="宋体" w:cs="Times New Roman"/>
                <w:b w:val="0"/>
                <w:bCs w:val="0"/>
                <w:color w:val="auto"/>
                <w:kern w:val="2"/>
                <w:sz w:val="24"/>
                <w:szCs w:val="24"/>
                <w:highlight w:val="none"/>
                <w:lang w:val="en-US" w:eastAsia="zh-CN" w:bidi="ar-SA"/>
              </w:rPr>
              <w:t>运营期废气主要为食堂油烟及进出车辆尾气，升压站已按</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的要求，于食堂设置有1台食堂油烟机，产生的食堂油烟经油烟机处理后引至楼顶排放；此外，升压站内停车场车辆进出时排放少量的汽车尾气，主要成份是烯烃类、CO和NOx，属无组织、间隙性排放，且排放量少，经大气扩散、绿化吸收后，影响较小。</w:t>
            </w:r>
          </w:p>
          <w:p w14:paraId="47903DF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废水</w:t>
            </w:r>
          </w:p>
          <w:p w14:paraId="48A946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2"/>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及现场调查，升压站运营过程废</w:t>
            </w:r>
            <w:r>
              <w:rPr>
                <w:rFonts w:hint="default" w:ascii="Times New Roman" w:hAnsi="Times New Roman" w:eastAsia="宋体" w:cs="Times New Roman"/>
                <w:color w:val="auto"/>
                <w:sz w:val="24"/>
                <w:szCs w:val="24"/>
                <w:highlight w:val="none"/>
                <w:lang w:val="en-US" w:eastAsia="zh-CN"/>
              </w:rPr>
              <w:t>水主要为职工生活污水（含一般生活污水及食堂废水）。</w:t>
            </w:r>
            <w:r>
              <w:rPr>
                <w:rFonts w:hint="default" w:ascii="Times New Roman" w:hAnsi="Times New Roman" w:eastAsia="宋体" w:cs="Times New Roman"/>
                <w:b w:val="0"/>
                <w:bCs w:val="0"/>
                <w:color w:val="auto"/>
                <w:kern w:val="2"/>
                <w:sz w:val="24"/>
                <w:szCs w:val="24"/>
                <w:highlight w:val="none"/>
                <w:lang w:val="en-US" w:eastAsia="zh-CN" w:bidi="ar-SA"/>
              </w:rPr>
              <w:t>升压站已按</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rPr>
              <w:t>环境影响报告表》</w:t>
            </w:r>
            <w:r>
              <w:rPr>
                <w:rFonts w:hint="default" w:ascii="Times New Roman" w:hAnsi="Times New Roman" w:eastAsia="宋体" w:cs="Times New Roman"/>
                <w:color w:val="auto"/>
                <w:sz w:val="24"/>
                <w:szCs w:val="24"/>
                <w:highlight w:val="none"/>
                <w:lang w:val="en-US" w:eastAsia="zh-CN"/>
              </w:rPr>
              <w:t>的要求，设置有雨污分流系统、1个食堂隔油池（容积为0.5m³）、1个埋地化粪池（容积为2m³）、1套一体化污水处理站（处理规模2m³/d）、1个清水池（容积为25.74</w:t>
            </w:r>
            <w:r>
              <w:rPr>
                <w:rFonts w:hint="default" w:ascii="Times New Roman" w:hAnsi="Times New Roman" w:eastAsia="宋体" w:cs="Times New Roman"/>
                <w:color w:val="auto"/>
                <w:sz w:val="24"/>
                <w:szCs w:val="24"/>
                <w:highlight w:val="none"/>
              </w:rPr>
              <w:t>m³</w:t>
            </w:r>
            <w:r>
              <w:rPr>
                <w:rFonts w:hint="default" w:ascii="Times New Roman" w:hAnsi="Times New Roman" w:eastAsia="宋体" w:cs="Times New Roman"/>
                <w:color w:val="auto"/>
                <w:sz w:val="24"/>
                <w:szCs w:val="24"/>
                <w:highlight w:val="none"/>
                <w:lang w:val="en-US" w:eastAsia="zh-CN"/>
              </w:rPr>
              <w:t>），产生的食堂废水经食堂隔油池预处理后，和其他一般生活污水一同排入化粪池，经化粪池处理后排至自建一体化污水处理站进行处理，经处理达</w:t>
            </w:r>
            <w:r>
              <w:rPr>
                <w:rFonts w:hint="default" w:ascii="Times New Roman" w:hAnsi="Times New Roman" w:eastAsia="宋体" w:cs="Times New Roman"/>
                <w:color w:val="auto"/>
                <w:sz w:val="24"/>
                <w:szCs w:val="24"/>
                <w:highlight w:val="none"/>
              </w:rPr>
              <w:t>《城市污水再生利用城市杂用水水质》（GB/T18920-2020）中绿化标准后回用于升压站内绿化</w:t>
            </w:r>
            <w:r>
              <w:rPr>
                <w:rFonts w:hint="default" w:ascii="Times New Roman" w:hAnsi="Times New Roman" w:eastAsia="宋体" w:cs="Times New Roman"/>
                <w:color w:val="auto"/>
                <w:sz w:val="24"/>
                <w:szCs w:val="24"/>
                <w:highlight w:val="none"/>
                <w:lang w:val="en-US" w:eastAsia="zh-CN"/>
              </w:rPr>
              <w:t>用水</w:t>
            </w:r>
            <w:r>
              <w:rPr>
                <w:rFonts w:hint="default" w:ascii="Times New Roman" w:hAnsi="Times New Roman" w:eastAsia="宋体" w:cs="Times New Roman"/>
                <w:color w:val="auto"/>
                <w:sz w:val="24"/>
                <w:szCs w:val="24"/>
                <w:highlight w:val="none"/>
              </w:rPr>
              <w:t>，不外排</w:t>
            </w:r>
            <w:r>
              <w:rPr>
                <w:rFonts w:hint="default" w:ascii="Times New Roman" w:hAnsi="Times New Roman" w:eastAsia="宋体" w:cs="Times New Roman"/>
                <w:color w:val="auto"/>
                <w:sz w:val="24"/>
                <w:szCs w:val="24"/>
                <w:highlight w:val="none"/>
                <w:lang w:eastAsia="zh-CN"/>
              </w:rPr>
              <w:t>。</w:t>
            </w:r>
          </w:p>
          <w:p w14:paraId="014318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竣工环境保护验收阶段废水水质检测结果</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升压站废水经隔油池、化粪池、一体化污水处理站处理后，出水水质可满足</w:t>
            </w:r>
            <w:r>
              <w:rPr>
                <w:rFonts w:hint="default" w:ascii="Times New Roman" w:hAnsi="Times New Roman" w:eastAsia="宋体" w:cs="Times New Roman"/>
                <w:color w:val="auto"/>
                <w:sz w:val="24"/>
                <w:szCs w:val="24"/>
                <w:highlight w:val="none"/>
              </w:rPr>
              <w:t>《城市污水再生利用城市杂用水水质》（GB/T18920-2020）中绿化标准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均可达标回用。</w:t>
            </w:r>
          </w:p>
          <w:p w14:paraId="136AC06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噪声</w:t>
            </w:r>
          </w:p>
          <w:p w14:paraId="0F8398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及现场调查，升压站运营期噪声主要为主变压器运行产生的噪声，升压站按要求设置有站区围墙及绿化带，噪声经绿化降噪、围墙阻隔、距离衰减后影响不大。</w:t>
            </w:r>
          </w:p>
          <w:p w14:paraId="311888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本次环境影响评价期间，建设单位于</w:t>
            </w:r>
            <w:r>
              <w:rPr>
                <w:rFonts w:hint="default" w:ascii="Times New Roman" w:hAnsi="Times New Roman" w:eastAsia="宋体" w:cs="Times New Roman"/>
                <w:color w:val="auto"/>
                <w:sz w:val="24"/>
                <w:szCs w:val="24"/>
                <w:highlight w:val="none"/>
                <w:lang w:val="en-US" w:eastAsia="zh-CN"/>
              </w:rPr>
              <w:t>2024年10月12日委托云南科环环境工程咨询有限公司</w:t>
            </w:r>
            <w:r>
              <w:rPr>
                <w:rFonts w:hint="default" w:ascii="Times New Roman" w:hAnsi="Times New Roman" w:eastAsia="宋体" w:cs="Times New Roman"/>
                <w:color w:val="auto"/>
                <w:sz w:val="24"/>
                <w:szCs w:val="22"/>
                <w:highlight w:val="none"/>
                <w:lang w:val="en-US" w:eastAsia="zh-CN"/>
              </w:rPr>
              <w:t>对升压站站址东、南、西、北四侧厂界噪声进行监测，监测期间，升压站正常运行，详细监测结果如下：</w:t>
            </w:r>
          </w:p>
          <w:p w14:paraId="6E7390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表3-8  升压站厂界噪声监测结果一览表</w:t>
            </w:r>
          </w:p>
          <w:tbl>
            <w:tblPr>
              <w:tblStyle w:val="50"/>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689"/>
              <w:gridCol w:w="1122"/>
              <w:gridCol w:w="701"/>
              <w:gridCol w:w="1158"/>
              <w:gridCol w:w="1077"/>
              <w:gridCol w:w="866"/>
              <w:gridCol w:w="668"/>
            </w:tblGrid>
            <w:tr w14:paraId="4604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blHeader/>
                <w:jc w:val="center"/>
              </w:trPr>
              <w:tc>
                <w:tcPr>
                  <w:tcW w:w="377" w:type="pct"/>
                  <w:vAlign w:val="center"/>
                </w:tcPr>
                <w:p w14:paraId="5C89F11E">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72" w:type="pct"/>
                  <w:vAlign w:val="center"/>
                </w:tcPr>
                <w:p w14:paraId="6DD7490C">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w:t>
                  </w:r>
                </w:p>
              </w:tc>
              <w:tc>
                <w:tcPr>
                  <w:tcW w:w="712" w:type="pct"/>
                  <w:vAlign w:val="center"/>
                </w:tcPr>
                <w:p w14:paraId="7D2589A2">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180" w:type="pct"/>
                  <w:gridSpan w:val="2"/>
                  <w:vAlign w:val="center"/>
                </w:tcPr>
                <w:p w14:paraId="60DF76E7">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采样时段</w:t>
                  </w:r>
                </w:p>
              </w:tc>
              <w:tc>
                <w:tcPr>
                  <w:tcW w:w="683" w:type="pct"/>
                  <w:vAlign w:val="center"/>
                </w:tcPr>
                <w:p w14:paraId="56F7C908">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w:t>
                  </w:r>
                </w:p>
                <w:p w14:paraId="2B2340C2">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Leq</w:t>
                  </w:r>
                </w:p>
              </w:tc>
              <w:tc>
                <w:tcPr>
                  <w:tcW w:w="549" w:type="pct"/>
                  <w:vAlign w:val="center"/>
                </w:tcPr>
                <w:p w14:paraId="71177A42">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w:t>
                  </w:r>
                </w:p>
                <w:p w14:paraId="780691DF">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限值</w:t>
                  </w:r>
                </w:p>
              </w:tc>
              <w:tc>
                <w:tcPr>
                  <w:tcW w:w="424" w:type="pct"/>
                  <w:vAlign w:val="center"/>
                </w:tcPr>
                <w:p w14:paraId="2305BFEB">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p w14:paraId="31934C62">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情况</w:t>
                  </w:r>
                </w:p>
              </w:tc>
            </w:tr>
            <w:tr w14:paraId="6C8B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restart"/>
                  <w:vAlign w:val="center"/>
                </w:tcPr>
                <w:p w14:paraId="3C1DE37D">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15" w:name="_Toc12876"/>
                  <w:r>
                    <w:rPr>
                      <w:rFonts w:hint="default" w:ascii="Times New Roman" w:hAnsi="Times New Roman" w:eastAsia="宋体" w:cs="Times New Roman"/>
                      <w:b w:val="0"/>
                      <w:color w:val="auto"/>
                      <w:spacing w:val="0"/>
                      <w:kern w:val="2"/>
                      <w:sz w:val="21"/>
                      <w:szCs w:val="21"/>
                      <w:highlight w:val="none"/>
                      <w:lang w:val="en-US" w:eastAsia="zh-CN" w:bidi="ar-SA"/>
                    </w:rPr>
                    <w:t>1#</w:t>
                  </w:r>
                  <w:bookmarkEnd w:id="115"/>
                </w:p>
              </w:tc>
              <w:tc>
                <w:tcPr>
                  <w:tcW w:w="1072" w:type="pct"/>
                  <w:vMerge w:val="restart"/>
                  <w:vAlign w:val="center"/>
                </w:tcPr>
                <w:p w14:paraId="1BA9A509">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bookmarkStart w:id="116" w:name="_Toc23829"/>
                  <w:r>
                    <w:rPr>
                      <w:rFonts w:hint="default" w:ascii="Times New Roman" w:hAnsi="Times New Roman" w:eastAsia="宋体" w:cs="Times New Roman"/>
                      <w:b w:val="0"/>
                      <w:color w:val="auto"/>
                      <w:spacing w:val="0"/>
                      <w:w w:val="100"/>
                      <w:kern w:val="2"/>
                      <w:sz w:val="21"/>
                      <w:szCs w:val="21"/>
                      <w:highlight w:val="none"/>
                      <w:lang w:val="en-US" w:eastAsia="zh-CN" w:bidi="ar-SA"/>
                    </w:rPr>
                    <w:t>220kV升压站东侧围墙外1m处</w:t>
                  </w:r>
                  <w:bookmarkEnd w:id="116"/>
                </w:p>
              </w:tc>
              <w:tc>
                <w:tcPr>
                  <w:tcW w:w="712" w:type="pct"/>
                  <w:shd w:val="clear" w:color="auto" w:fill="auto"/>
                  <w:vAlign w:val="center"/>
                </w:tcPr>
                <w:p w14:paraId="7813E8E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4F20612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5" w:type="pct"/>
                  <w:vAlign w:val="center"/>
                </w:tcPr>
                <w:p w14:paraId="2FA2FD7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19:22-19:23</w:t>
                  </w:r>
                </w:p>
              </w:tc>
              <w:tc>
                <w:tcPr>
                  <w:tcW w:w="683" w:type="pct"/>
                  <w:vAlign w:val="center"/>
                </w:tcPr>
                <w:p w14:paraId="0B19C82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549" w:type="pct"/>
                  <w:vAlign w:val="center"/>
                </w:tcPr>
                <w:p w14:paraId="2157D2E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4236153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2FBE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continue"/>
                  <w:vAlign w:val="center"/>
                </w:tcPr>
                <w:p w14:paraId="057B29CC">
                  <w:pPr>
                    <w:pStyle w:val="96"/>
                    <w:keepNext w:val="0"/>
                    <w:pageBreakBefore w:val="0"/>
                    <w:widowControl/>
                    <w:kinsoku/>
                    <w:wordWrap/>
                    <w:overflowPunct/>
                    <w:topLinePunct w:val="0"/>
                    <w:bidi w:val="0"/>
                    <w:adjustRightInd/>
                    <w:snapToGrid/>
                    <w:spacing w:beforeLines="0" w:afterLines="0" w:line="300" w:lineRule="auto"/>
                    <w:ind w:left="-105" w:leftChars="-50" w:right="-105" w:rightChars="-50" w:firstLine="0" w:firstLineChars="0"/>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072" w:type="pct"/>
                  <w:vMerge w:val="continue"/>
                  <w:vAlign w:val="center"/>
                </w:tcPr>
                <w:p w14:paraId="3BC0081E">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12" w:type="pct"/>
                  <w:shd w:val="clear" w:color="auto" w:fill="auto"/>
                  <w:vAlign w:val="center"/>
                </w:tcPr>
                <w:p w14:paraId="7272F502">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7BAD6039">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5" w:type="pct"/>
                  <w:vAlign w:val="center"/>
                </w:tcPr>
                <w:p w14:paraId="21435ADB">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22:17-22:18</w:t>
                  </w:r>
                </w:p>
              </w:tc>
              <w:tc>
                <w:tcPr>
                  <w:tcW w:w="683" w:type="pct"/>
                  <w:vAlign w:val="center"/>
                </w:tcPr>
                <w:p w14:paraId="0CAB0ADF">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549" w:type="pct"/>
                  <w:vAlign w:val="center"/>
                </w:tcPr>
                <w:p w14:paraId="110014E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542D9E9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r w14:paraId="26F3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restart"/>
                  <w:vAlign w:val="center"/>
                </w:tcPr>
                <w:p w14:paraId="37020DAC">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17" w:name="_Toc27037"/>
                  <w:r>
                    <w:rPr>
                      <w:rFonts w:hint="default" w:ascii="Times New Roman" w:hAnsi="Times New Roman" w:eastAsia="宋体" w:cs="Times New Roman"/>
                      <w:b w:val="0"/>
                      <w:color w:val="auto"/>
                      <w:spacing w:val="0"/>
                      <w:kern w:val="2"/>
                      <w:sz w:val="21"/>
                      <w:szCs w:val="21"/>
                      <w:highlight w:val="none"/>
                      <w:lang w:val="en-US" w:eastAsia="zh-CN" w:bidi="ar-SA"/>
                    </w:rPr>
                    <w:t>2#</w:t>
                  </w:r>
                  <w:bookmarkEnd w:id="117"/>
                </w:p>
              </w:tc>
              <w:tc>
                <w:tcPr>
                  <w:tcW w:w="1072" w:type="pct"/>
                  <w:vMerge w:val="restart"/>
                  <w:vAlign w:val="center"/>
                </w:tcPr>
                <w:p w14:paraId="794BA379">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220kV升压站南侧围墙外1m处</w:t>
                  </w:r>
                </w:p>
              </w:tc>
              <w:tc>
                <w:tcPr>
                  <w:tcW w:w="712" w:type="pct"/>
                  <w:shd w:val="clear" w:color="auto" w:fill="auto"/>
                  <w:vAlign w:val="center"/>
                </w:tcPr>
                <w:p w14:paraId="7F522C9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34571172">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5" w:type="pct"/>
                  <w:vAlign w:val="center"/>
                </w:tcPr>
                <w:p w14:paraId="4F76D0F9">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19:04-19:05</w:t>
                  </w:r>
                </w:p>
              </w:tc>
              <w:tc>
                <w:tcPr>
                  <w:tcW w:w="683" w:type="pct"/>
                  <w:vAlign w:val="center"/>
                </w:tcPr>
                <w:p w14:paraId="4B9FC8E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549" w:type="pct"/>
                  <w:vAlign w:val="center"/>
                </w:tcPr>
                <w:p w14:paraId="523A2E26">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68A8B2AC">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30F3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continue"/>
                  <w:vAlign w:val="center"/>
                </w:tcPr>
                <w:p w14:paraId="15EE2B07">
                  <w:pPr>
                    <w:pStyle w:val="96"/>
                    <w:keepNext w:val="0"/>
                    <w:pageBreakBefore w:val="0"/>
                    <w:widowControl/>
                    <w:kinsoku/>
                    <w:wordWrap/>
                    <w:overflowPunct/>
                    <w:topLinePunct w:val="0"/>
                    <w:bidi w:val="0"/>
                    <w:adjustRightInd/>
                    <w:snapToGrid/>
                    <w:spacing w:beforeLines="0" w:afterLines="0" w:line="300" w:lineRule="auto"/>
                    <w:ind w:left="-105" w:leftChars="-50" w:right="-105" w:rightChars="-50" w:firstLine="0" w:firstLineChars="0"/>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072" w:type="pct"/>
                  <w:vMerge w:val="continue"/>
                  <w:vAlign w:val="center"/>
                </w:tcPr>
                <w:p w14:paraId="31358FC1">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12" w:type="pct"/>
                  <w:shd w:val="clear" w:color="auto" w:fill="auto"/>
                  <w:vAlign w:val="center"/>
                </w:tcPr>
                <w:p w14:paraId="4348082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60EE41E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5" w:type="pct"/>
                  <w:vAlign w:val="center"/>
                </w:tcPr>
                <w:p w14:paraId="2192370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22:11-22:12</w:t>
                  </w:r>
                </w:p>
              </w:tc>
              <w:tc>
                <w:tcPr>
                  <w:tcW w:w="683" w:type="pct"/>
                  <w:vAlign w:val="center"/>
                </w:tcPr>
                <w:p w14:paraId="43C3C3F6">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549" w:type="pct"/>
                  <w:vAlign w:val="center"/>
                </w:tcPr>
                <w:p w14:paraId="503695A2">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26421D9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r w14:paraId="4DBF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restart"/>
                  <w:vAlign w:val="center"/>
                </w:tcPr>
                <w:p w14:paraId="04AC907A">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18" w:name="_Toc4235"/>
                  <w:r>
                    <w:rPr>
                      <w:rFonts w:hint="default" w:ascii="Times New Roman" w:hAnsi="Times New Roman" w:eastAsia="宋体" w:cs="Times New Roman"/>
                      <w:b w:val="0"/>
                      <w:color w:val="auto"/>
                      <w:spacing w:val="0"/>
                      <w:kern w:val="2"/>
                      <w:sz w:val="21"/>
                      <w:szCs w:val="21"/>
                      <w:highlight w:val="none"/>
                      <w:lang w:val="en-US" w:eastAsia="zh-CN" w:bidi="ar-SA"/>
                    </w:rPr>
                    <w:t>3#</w:t>
                  </w:r>
                  <w:bookmarkEnd w:id="118"/>
                </w:p>
              </w:tc>
              <w:tc>
                <w:tcPr>
                  <w:tcW w:w="1072" w:type="pct"/>
                  <w:vMerge w:val="restart"/>
                  <w:vAlign w:val="center"/>
                </w:tcPr>
                <w:p w14:paraId="7A113576">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220kV升压站西侧围墙外1m处</w:t>
                  </w:r>
                </w:p>
              </w:tc>
              <w:tc>
                <w:tcPr>
                  <w:tcW w:w="712" w:type="pct"/>
                  <w:vAlign w:val="center"/>
                </w:tcPr>
                <w:p w14:paraId="52C0812F">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22309CEB">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5" w:type="pct"/>
                  <w:vAlign w:val="center"/>
                </w:tcPr>
                <w:p w14:paraId="2D9B9CA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18:54-18:55</w:t>
                  </w:r>
                </w:p>
              </w:tc>
              <w:tc>
                <w:tcPr>
                  <w:tcW w:w="683" w:type="pct"/>
                  <w:vAlign w:val="center"/>
                </w:tcPr>
                <w:p w14:paraId="38B0ED2A">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549" w:type="pct"/>
                  <w:vAlign w:val="center"/>
                </w:tcPr>
                <w:p w14:paraId="7539FB0F">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0947719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04E0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continue"/>
                  <w:vAlign w:val="center"/>
                </w:tcPr>
                <w:p w14:paraId="5F9325B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072" w:type="pct"/>
                  <w:vMerge w:val="continue"/>
                  <w:vAlign w:val="center"/>
                </w:tcPr>
                <w:p w14:paraId="502DC061">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12" w:type="pct"/>
                  <w:vAlign w:val="center"/>
                </w:tcPr>
                <w:p w14:paraId="51FB52FC">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7C9042FD">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5" w:type="pct"/>
                  <w:vAlign w:val="center"/>
                </w:tcPr>
                <w:p w14:paraId="38A92F95">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22:05-22:06</w:t>
                  </w:r>
                </w:p>
              </w:tc>
              <w:tc>
                <w:tcPr>
                  <w:tcW w:w="683" w:type="pct"/>
                  <w:vAlign w:val="center"/>
                </w:tcPr>
                <w:p w14:paraId="411352A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w:t>
                  </w:r>
                </w:p>
              </w:tc>
              <w:tc>
                <w:tcPr>
                  <w:tcW w:w="549" w:type="pct"/>
                  <w:vAlign w:val="center"/>
                </w:tcPr>
                <w:p w14:paraId="48CFC716">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3E5A4EFB">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r w14:paraId="2B69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77" w:type="pct"/>
                  <w:vMerge w:val="restart"/>
                  <w:vAlign w:val="center"/>
                </w:tcPr>
                <w:p w14:paraId="76830BD3">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19" w:name="_Toc7325"/>
                  <w:r>
                    <w:rPr>
                      <w:rFonts w:hint="default" w:ascii="Times New Roman" w:hAnsi="Times New Roman" w:eastAsia="宋体" w:cs="Times New Roman"/>
                      <w:b w:val="0"/>
                      <w:color w:val="auto"/>
                      <w:spacing w:val="0"/>
                      <w:kern w:val="2"/>
                      <w:sz w:val="21"/>
                      <w:szCs w:val="21"/>
                      <w:highlight w:val="none"/>
                      <w:lang w:val="en-US" w:eastAsia="zh-CN" w:bidi="ar-SA"/>
                    </w:rPr>
                    <w:t>4#</w:t>
                  </w:r>
                  <w:bookmarkEnd w:id="119"/>
                </w:p>
              </w:tc>
              <w:tc>
                <w:tcPr>
                  <w:tcW w:w="1072" w:type="pct"/>
                  <w:vMerge w:val="restart"/>
                  <w:vAlign w:val="center"/>
                </w:tcPr>
                <w:p w14:paraId="7BFA2611">
                  <w:pPr>
                    <w:keepNext w:val="0"/>
                    <w:keepLines w:val="0"/>
                    <w:pageBreakBefore w:val="0"/>
                    <w:widowControl w:val="0"/>
                    <w:kinsoku/>
                    <w:wordWrap/>
                    <w:overflowPunct/>
                    <w:topLinePunct w:val="0"/>
                    <w:autoSpaceDE w:val="0"/>
                    <w:autoSpaceDN w:val="0"/>
                    <w:bidi w:val="0"/>
                    <w:adjustRightInd/>
                    <w:snapToGrid/>
                    <w:spacing w:line="30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220kV升压站北侧围墙外1m处</w:t>
                  </w:r>
                </w:p>
              </w:tc>
              <w:tc>
                <w:tcPr>
                  <w:tcW w:w="712" w:type="pct"/>
                  <w:vAlign w:val="center"/>
                </w:tcPr>
                <w:p w14:paraId="1D874063">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5CF1918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5" w:type="pct"/>
                  <w:vAlign w:val="center"/>
                </w:tcPr>
                <w:p w14:paraId="024B333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19:37-19:38</w:t>
                  </w:r>
                </w:p>
              </w:tc>
              <w:tc>
                <w:tcPr>
                  <w:tcW w:w="683" w:type="pct"/>
                  <w:vAlign w:val="center"/>
                </w:tcPr>
                <w:p w14:paraId="3AA61F35">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w:t>
                  </w:r>
                </w:p>
              </w:tc>
              <w:tc>
                <w:tcPr>
                  <w:tcW w:w="549" w:type="pct"/>
                  <w:vAlign w:val="center"/>
                </w:tcPr>
                <w:p w14:paraId="56AC328F">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1B14919C">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4BAA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377" w:type="pct"/>
                  <w:vMerge w:val="continue"/>
                  <w:vAlign w:val="center"/>
                </w:tcPr>
                <w:p w14:paraId="585AA5D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72" w:type="pct"/>
                  <w:vMerge w:val="continue"/>
                  <w:vAlign w:val="center"/>
                </w:tcPr>
                <w:p w14:paraId="546D606B">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712" w:type="pct"/>
                  <w:vAlign w:val="center"/>
                </w:tcPr>
                <w:p w14:paraId="04723F5C">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5" w:type="pct"/>
                  <w:vAlign w:val="center"/>
                </w:tcPr>
                <w:p w14:paraId="3D9DFAE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5" w:type="pct"/>
                  <w:vAlign w:val="center"/>
                </w:tcPr>
                <w:p w14:paraId="783ADD1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22:24-22:25</w:t>
                  </w:r>
                </w:p>
              </w:tc>
              <w:tc>
                <w:tcPr>
                  <w:tcW w:w="683" w:type="pct"/>
                  <w:vAlign w:val="center"/>
                </w:tcPr>
                <w:p w14:paraId="27B4DAA8">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w:t>
                  </w:r>
                </w:p>
              </w:tc>
              <w:tc>
                <w:tcPr>
                  <w:tcW w:w="549" w:type="pct"/>
                  <w:vAlign w:val="center"/>
                </w:tcPr>
                <w:p w14:paraId="5A6AF710">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3CFD8DE7">
                  <w:pPr>
                    <w:keepNext w:val="0"/>
                    <w:keepLines/>
                    <w:pageBreakBefore w:val="0"/>
                    <w:kinsoku/>
                    <w:wordWrap/>
                    <w:overflowPunct/>
                    <w:topLinePunct w:val="0"/>
                    <w:bidi w:val="0"/>
                    <w:adjustRightInd/>
                    <w:snapToGrid/>
                    <w:spacing w:line="30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bl>
          <w:p w14:paraId="1EE127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根据上表监测结果可知，升压站运行过程产生的噪声经绿化降噪、围墙阻隔后，均可满足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val="en-US" w:eastAsia="zh-CN"/>
              </w:rPr>
              <w:t>要求，均可达标排放。</w:t>
            </w:r>
          </w:p>
          <w:p w14:paraId="696168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4、固废</w:t>
            </w:r>
          </w:p>
          <w:p w14:paraId="49279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val="en-US" w:eastAsia="zh-CN" w:bidi="ar-SA"/>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中清能禄劝县岩子头200MW生态修复光伏电站项目环境影响报告表》</w:t>
            </w:r>
            <w:r>
              <w:rPr>
                <w:rFonts w:hint="default" w:ascii="Times New Roman" w:hAnsi="Times New Roman" w:eastAsia="宋体" w:cs="Times New Roman"/>
                <w:color w:val="auto"/>
                <w:sz w:val="24"/>
                <w:szCs w:val="24"/>
                <w:highlight w:val="none"/>
                <w:lang w:val="en-US" w:eastAsia="zh-CN"/>
              </w:rPr>
              <w:t>及现场调查，升压站运营过程固废主要包括</w:t>
            </w:r>
            <w:r>
              <w:rPr>
                <w:rFonts w:hint="default" w:ascii="Times New Roman" w:hAnsi="Times New Roman" w:eastAsia="宋体" w:cs="Times New Roman"/>
                <w:color w:val="auto"/>
                <w:sz w:val="24"/>
                <w:szCs w:val="24"/>
                <w:highlight w:val="none"/>
                <w:lang w:eastAsia="zh-CN"/>
              </w:rPr>
              <w:t>废蓄电池、废变压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油、食堂</w:t>
            </w:r>
            <w:r>
              <w:rPr>
                <w:rFonts w:hint="default"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eastAsia="zh-CN"/>
              </w:rPr>
              <w:t>废油脂、化粪池</w:t>
            </w:r>
            <w:r>
              <w:rPr>
                <w:rFonts w:hint="default" w:ascii="Times New Roman" w:hAnsi="Times New Roman" w:eastAsia="宋体" w:cs="Times New Roman"/>
                <w:color w:val="auto"/>
                <w:sz w:val="24"/>
                <w:szCs w:val="24"/>
                <w:highlight w:val="none"/>
                <w:lang w:val="en-US" w:eastAsia="zh-CN"/>
              </w:rPr>
              <w:t>及污水处理站</w:t>
            </w:r>
            <w:r>
              <w:rPr>
                <w:rFonts w:hint="default" w:ascii="Times New Roman" w:hAnsi="Times New Roman" w:eastAsia="宋体" w:cs="Times New Roman"/>
                <w:color w:val="auto"/>
                <w:sz w:val="24"/>
                <w:szCs w:val="24"/>
                <w:highlight w:val="none"/>
                <w:lang w:eastAsia="zh-CN"/>
              </w:rPr>
              <w:t>污泥、</w:t>
            </w:r>
            <w:r>
              <w:rPr>
                <w:rFonts w:hint="default" w:ascii="Times New Roman" w:hAnsi="Times New Roman" w:eastAsia="宋体" w:cs="Times New Roman"/>
                <w:color w:val="auto"/>
                <w:sz w:val="24"/>
                <w:szCs w:val="24"/>
                <w:highlight w:val="none"/>
                <w:lang w:val="en-US" w:eastAsia="zh-CN"/>
              </w:rPr>
              <w:t>检修废物（</w:t>
            </w:r>
            <w:r>
              <w:rPr>
                <w:rFonts w:hint="default" w:ascii="Times New Roman" w:hAnsi="Times New Roman" w:eastAsia="宋体" w:cs="Times New Roman"/>
                <w:color w:val="auto"/>
                <w:sz w:val="24"/>
                <w:szCs w:val="24"/>
                <w:highlight w:val="none"/>
              </w:rPr>
              <w:t>含油抹布、劳保用品</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以及生活垃圾。</w:t>
            </w:r>
          </w:p>
          <w:p w14:paraId="456CE2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根据现场调查，升压站已按</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中清能禄劝县岩子头200MW生态修复光伏电站项目环境影响报告表》</w:t>
            </w:r>
            <w:r>
              <w:rPr>
                <w:rFonts w:hint="default" w:ascii="Times New Roman" w:hAnsi="Times New Roman" w:eastAsia="宋体" w:cs="Times New Roman"/>
                <w:color w:val="auto"/>
                <w:sz w:val="24"/>
                <w:szCs w:val="24"/>
                <w:highlight w:val="none"/>
                <w:lang w:val="en-US" w:eastAsia="zh-CN"/>
              </w:rPr>
              <w:t>的要求，设置有生活垃圾收集桶及垃圾收集箱、主变集油坑（容积为20m³）、1个事故油池（容积为52.8m³）、1间危废暂存间（占地面积为39.32m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），其中危废暂存间已按要求进行防渗处理、已设置有标志、标识牌，并已与云南大地丰源环保有限公司签订危险废物处置协议（详见附件14）。产生的生活垃圾经垃圾桶、垃圾收集箱收集后，</w:t>
            </w:r>
            <w:r>
              <w:rPr>
                <w:rFonts w:hint="default" w:ascii="Times New Roman" w:hAnsi="Times New Roman" w:eastAsia="宋体" w:cs="Times New Roman"/>
                <w:color w:val="auto"/>
                <w:sz w:val="24"/>
                <w:szCs w:val="24"/>
                <w:highlight w:val="none"/>
              </w:rPr>
              <w:t>运送至就近的</w:t>
            </w:r>
            <w:r>
              <w:rPr>
                <w:rFonts w:hint="default" w:ascii="Times New Roman" w:hAnsi="Times New Roman" w:eastAsia="宋体" w:cs="Times New Roman"/>
                <w:color w:val="auto"/>
                <w:sz w:val="24"/>
                <w:szCs w:val="24"/>
                <w:highlight w:val="none"/>
                <w:lang w:val="en-US" w:eastAsia="zh-CN"/>
              </w:rPr>
              <w:t>村庄生活</w:t>
            </w:r>
            <w:r>
              <w:rPr>
                <w:rFonts w:hint="default" w:ascii="Times New Roman" w:hAnsi="Times New Roman" w:eastAsia="宋体" w:cs="Times New Roman"/>
                <w:color w:val="auto"/>
                <w:sz w:val="24"/>
                <w:szCs w:val="24"/>
                <w:highlight w:val="none"/>
              </w:rPr>
              <w:t>垃圾</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收集点，与附近村庄垃圾一同</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隔油池使用一定时间后会产生少量</w:t>
            </w:r>
            <w:r>
              <w:rPr>
                <w:rFonts w:hint="default" w:ascii="Times New Roman" w:hAnsi="Times New Roman" w:eastAsia="宋体" w:cs="Times New Roman"/>
                <w:color w:val="auto"/>
                <w:sz w:val="24"/>
                <w:szCs w:val="24"/>
                <w:highlight w:val="none"/>
              </w:rPr>
              <w:t>废油脂，</w:t>
            </w:r>
            <w:r>
              <w:rPr>
                <w:rFonts w:hint="default" w:ascii="Times New Roman" w:hAnsi="Times New Roman" w:eastAsia="宋体" w:cs="Times New Roman"/>
                <w:color w:val="auto"/>
                <w:sz w:val="24"/>
                <w:szCs w:val="24"/>
                <w:highlight w:val="none"/>
                <w:lang w:val="en-US" w:eastAsia="zh-CN"/>
              </w:rPr>
              <w:t>经定期清掏后</w:t>
            </w:r>
            <w:r>
              <w:rPr>
                <w:rFonts w:hint="default" w:ascii="Times New Roman" w:hAnsi="Times New Roman" w:eastAsia="宋体" w:cs="Times New Roman"/>
                <w:color w:val="auto"/>
                <w:sz w:val="24"/>
                <w:szCs w:val="24"/>
                <w:highlight w:val="none"/>
              </w:rPr>
              <w:t>交由相关单位进行处置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化粪池及</w:t>
            </w:r>
            <w:r>
              <w:rPr>
                <w:rFonts w:hint="default" w:ascii="Times New Roman" w:hAnsi="Times New Roman" w:eastAsia="宋体" w:cs="Times New Roman"/>
                <w:color w:val="auto"/>
                <w:sz w:val="24"/>
                <w:szCs w:val="24"/>
                <w:highlight w:val="none"/>
                <w:lang w:eastAsia="zh-CN"/>
              </w:rPr>
              <w:t>一体化污水处理站</w:t>
            </w:r>
            <w:r>
              <w:rPr>
                <w:rFonts w:hint="default" w:ascii="Times New Roman" w:hAnsi="Times New Roman" w:eastAsia="宋体" w:cs="Times New Roman"/>
                <w:color w:val="auto"/>
                <w:sz w:val="24"/>
                <w:szCs w:val="24"/>
                <w:highlight w:val="none"/>
                <w:lang w:val="en-US" w:eastAsia="zh-CN"/>
              </w:rPr>
              <w:t>使用一定时间后会</w:t>
            </w:r>
            <w:r>
              <w:rPr>
                <w:rFonts w:hint="default" w:ascii="Times New Roman" w:hAnsi="Times New Roman" w:eastAsia="宋体" w:cs="Times New Roman"/>
                <w:color w:val="auto"/>
                <w:sz w:val="24"/>
                <w:szCs w:val="24"/>
                <w:highlight w:val="none"/>
                <w:lang w:eastAsia="zh-CN"/>
              </w:rPr>
              <w:t>产生污泥，清掏后用于</w:t>
            </w:r>
            <w:r>
              <w:rPr>
                <w:rFonts w:hint="default" w:ascii="Times New Roman" w:hAnsi="Times New Roman" w:eastAsia="宋体" w:cs="Times New Roman"/>
                <w:color w:val="auto"/>
                <w:sz w:val="24"/>
                <w:szCs w:val="24"/>
                <w:highlight w:val="none"/>
                <w:lang w:val="en-US" w:eastAsia="zh-CN"/>
              </w:rPr>
              <w:t>站址周边</w:t>
            </w:r>
            <w:r>
              <w:rPr>
                <w:rFonts w:hint="default" w:ascii="Times New Roman" w:hAnsi="Times New Roman" w:eastAsia="宋体" w:cs="Times New Roman"/>
                <w:color w:val="auto"/>
                <w:sz w:val="24"/>
                <w:szCs w:val="24"/>
                <w:highlight w:val="none"/>
                <w:lang w:eastAsia="zh-CN"/>
              </w:rPr>
              <w:t>植物施肥。</w:t>
            </w:r>
            <w:r>
              <w:rPr>
                <w:rFonts w:hint="default" w:ascii="Times New Roman" w:hAnsi="Times New Roman" w:eastAsia="宋体" w:cs="Times New Roman"/>
                <w:color w:val="auto"/>
                <w:sz w:val="24"/>
                <w:szCs w:val="24"/>
                <w:highlight w:val="none"/>
                <w:lang w:val="en-US" w:eastAsia="zh-CN"/>
              </w:rPr>
              <w:t>由于试运行时间较短，目前未产生废蓄电池、检修废物及</w:t>
            </w:r>
            <w:r>
              <w:rPr>
                <w:rFonts w:hint="default" w:ascii="Times New Roman" w:hAnsi="Times New Roman" w:eastAsia="宋体" w:cs="Times New Roman"/>
                <w:color w:val="auto"/>
                <w:sz w:val="24"/>
                <w:szCs w:val="24"/>
                <w:highlight w:val="none"/>
                <w:lang w:eastAsia="zh-CN"/>
              </w:rPr>
              <w:t>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w:t>
            </w:r>
            <w:r>
              <w:rPr>
                <w:rFonts w:hint="default" w:ascii="Times New Roman" w:hAnsi="Times New Roman" w:eastAsia="宋体" w:cs="Times New Roman"/>
                <w:color w:val="auto"/>
                <w:sz w:val="24"/>
                <w:szCs w:val="24"/>
                <w:highlight w:val="none"/>
                <w:lang w:val="en-US" w:eastAsia="zh-CN"/>
              </w:rPr>
              <w:t>后期若产生检修废物（</w:t>
            </w:r>
            <w:r>
              <w:rPr>
                <w:rFonts w:hint="default" w:ascii="Times New Roman" w:hAnsi="Times New Roman" w:eastAsia="宋体" w:cs="Times New Roman"/>
                <w:color w:val="auto"/>
                <w:sz w:val="24"/>
                <w:szCs w:val="24"/>
                <w:highlight w:val="none"/>
              </w:rPr>
              <w:t>含油抹布、劳保用品</w:t>
            </w:r>
            <w:r>
              <w:rPr>
                <w:rFonts w:hint="default" w:ascii="Times New Roman" w:hAnsi="Times New Roman" w:eastAsia="宋体" w:cs="Times New Roman"/>
                <w:color w:val="auto"/>
                <w:sz w:val="24"/>
                <w:szCs w:val="24"/>
                <w:highlight w:val="none"/>
                <w:lang w:val="en-US" w:eastAsia="zh-CN"/>
              </w:rPr>
              <w:t>）按要求进行</w:t>
            </w:r>
            <w:r>
              <w:rPr>
                <w:rFonts w:hint="default" w:ascii="Times New Roman" w:hAnsi="Times New Roman" w:eastAsia="宋体" w:cs="Times New Roman"/>
                <w:color w:val="auto"/>
                <w:sz w:val="24"/>
                <w:szCs w:val="24"/>
                <w:highlight w:val="none"/>
              </w:rPr>
              <w:t>豁免</w:t>
            </w:r>
            <w:r>
              <w:rPr>
                <w:rFonts w:hint="default" w:ascii="Times New Roman" w:hAnsi="Times New Roman" w:eastAsia="宋体" w:cs="Times New Roman"/>
                <w:color w:val="auto"/>
                <w:sz w:val="24"/>
                <w:szCs w:val="24"/>
                <w:highlight w:val="none"/>
                <w:lang w:val="en-US" w:eastAsia="zh-CN"/>
              </w:rPr>
              <w:t>和生活垃圾一同处置，产生废蓄电池及</w:t>
            </w:r>
            <w:r>
              <w:rPr>
                <w:rFonts w:hint="default" w:ascii="Times New Roman" w:hAnsi="Times New Roman" w:eastAsia="宋体" w:cs="Times New Roman"/>
                <w:color w:val="auto"/>
                <w:sz w:val="24"/>
                <w:szCs w:val="24"/>
                <w:highlight w:val="none"/>
                <w:lang w:eastAsia="zh-CN"/>
              </w:rPr>
              <w:t>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w:t>
            </w:r>
            <w:r>
              <w:rPr>
                <w:rFonts w:hint="default" w:ascii="Times New Roman" w:hAnsi="Times New Roman" w:eastAsia="宋体" w:cs="Times New Roman"/>
                <w:color w:val="auto"/>
                <w:sz w:val="24"/>
                <w:szCs w:val="24"/>
                <w:highlight w:val="none"/>
                <w:lang w:val="en-US" w:eastAsia="zh-CN"/>
              </w:rPr>
              <w:t>经收集后暂存于危废暂存间，委托云南大地丰源环保有限公司进行处置。</w:t>
            </w:r>
          </w:p>
          <w:p w14:paraId="5FB6FC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三、</w:t>
            </w:r>
            <w:r>
              <w:rPr>
                <w:rFonts w:hint="default" w:ascii="Times New Roman" w:hAnsi="Times New Roman" w:eastAsia="宋体" w:cs="Times New Roman"/>
                <w:b/>
                <w:bCs/>
                <w:color w:val="auto"/>
                <w:sz w:val="24"/>
                <w:highlight w:val="none"/>
                <w:lang w:eastAsia="zh-CN"/>
              </w:rPr>
              <w:t>与本工程有关的主要环境问题</w:t>
            </w:r>
          </w:p>
          <w:p w14:paraId="27E63E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lang w:val="en-US" w:eastAsia="zh-CN"/>
              </w:rPr>
              <w:t>根据现场调查，升压站施工期已结束，施工期影响已随施工期的结束而消失，无环境遗留问题，亦未发生过相关环保投诉事件；升压站已按</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中清能禄劝县岩子头200MW生态修复光伏电站项目环境影响报告表》</w:t>
            </w:r>
            <w:r>
              <w:rPr>
                <w:rFonts w:hint="default" w:ascii="Times New Roman" w:hAnsi="Times New Roman" w:eastAsia="宋体" w:cs="Times New Roman"/>
                <w:color w:val="auto"/>
                <w:sz w:val="24"/>
                <w:szCs w:val="24"/>
                <w:highlight w:val="none"/>
                <w:lang w:val="en-US" w:eastAsia="zh-CN"/>
              </w:rPr>
              <w:t>相关</w:t>
            </w:r>
            <w:r>
              <w:rPr>
                <w:rFonts w:hint="default" w:ascii="Times New Roman" w:hAnsi="Times New Roman" w:eastAsia="宋体" w:cs="Times New Roman"/>
                <w:color w:val="auto"/>
                <w:sz w:val="24"/>
                <w:highlight w:val="none"/>
                <w:lang w:val="en-US" w:eastAsia="zh-CN"/>
              </w:rPr>
              <w:t>要求进行环保设施建设，目前</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lang w:val="en-US" w:eastAsia="zh-CN"/>
              </w:rPr>
              <w:t>正在开展项目竣工环境保护验收工作；根据本次环评期间现状监测结果可知，升压站东、南、西、北厂界四周及电磁环境监测断面工频电场强度和工频磁感应强度均满足《电磁环境控制限值》（GB8702-2014）中公众曝露控制限值要求；厂界四周噪声监测值均满足《声环境质量标准》（GB3096-2008）中2类标准；根据2023年昆明市环境质量公报可知，项目所在区域属于环境空气质量达标区。整体而言，项目建设无明显制约因素，不存在与有关的环境问题。</w:t>
            </w:r>
          </w:p>
        </w:tc>
      </w:tr>
      <w:tr w14:paraId="74DEB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739" w:type="dxa"/>
            <w:vAlign w:val="center"/>
          </w:tcPr>
          <w:p w14:paraId="19E05209">
            <w:pPr>
              <w:adjustRightInd w:val="0"/>
              <w:spacing w:line="360" w:lineRule="auto"/>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highlight w:val="none"/>
              </w:rPr>
              <w:t>生态环境保护目标</w:t>
            </w:r>
          </w:p>
        </w:tc>
        <w:tc>
          <w:tcPr>
            <w:tcW w:w="8105" w:type="dxa"/>
            <w:vAlign w:val="center"/>
          </w:tcPr>
          <w:p w14:paraId="707C889D">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（1）生态环境保护目标</w:t>
            </w:r>
          </w:p>
          <w:p w14:paraId="107AD12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val="en-US" w:eastAsia="zh-CN"/>
              </w:rPr>
              <w:t>本</w:t>
            </w:r>
            <w:r>
              <w:rPr>
                <w:rFonts w:hint="default" w:ascii="Times New Roman" w:hAnsi="Times New Roman" w:eastAsia="宋体" w:cs="Times New Roman"/>
                <w:color w:val="auto"/>
                <w:kern w:val="0"/>
                <w:sz w:val="24"/>
                <w:highlight w:val="none"/>
              </w:rPr>
              <w:t>项目不涉及自然保护区、世界文化和自然遗产地、风景名胜区、森林公园、地质公园、重要湿地</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饮用水源地保护区、生态红线、基本农田</w:t>
            </w:r>
            <w:r>
              <w:rPr>
                <w:rFonts w:hint="default" w:ascii="Times New Roman" w:hAnsi="Times New Roman" w:eastAsia="宋体" w:cs="Times New Roman"/>
                <w:color w:val="auto"/>
                <w:kern w:val="0"/>
                <w:sz w:val="24"/>
                <w:highlight w:val="none"/>
              </w:rPr>
              <w:t>等生态环境敏感区</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也不涉及占用公益林</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根据《环境影响评价技术导则生态影响》（HJ19-2022）及《环境影响评价技术导则输变电》（HJ24-2020），并结合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生态环境影响评价范围为</w:t>
            </w:r>
            <w:r>
              <w:rPr>
                <w:rFonts w:hint="default" w:ascii="Times New Roman" w:hAnsi="Times New Roman" w:eastAsia="宋体" w:cs="Times New Roman"/>
                <w:b w:val="0"/>
                <w:bCs w:val="0"/>
                <w:color w:val="auto"/>
                <w:sz w:val="24"/>
                <w:highlight w:val="none"/>
                <w:lang w:val="en-US" w:eastAsia="zh-CN"/>
              </w:rPr>
              <w:t>：以变电站站址为中心分别向站界外延500m的面状区域作为评价范围</w:t>
            </w:r>
            <w:r>
              <w:rPr>
                <w:rFonts w:hint="default" w:ascii="Times New Roman" w:hAnsi="Times New Roman" w:eastAsia="宋体" w:cs="Times New Roman"/>
                <w:color w:val="auto"/>
                <w:sz w:val="24"/>
                <w:highlight w:val="none"/>
              </w:rPr>
              <w:t>。</w:t>
            </w:r>
          </w:p>
          <w:p w14:paraId="17BFB36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val="0"/>
                <w:bCs w:val="0"/>
                <w:color w:val="auto"/>
                <w:sz w:val="24"/>
                <w:szCs w:val="24"/>
                <w:highlight w:val="none"/>
                <w:lang w:val="en-US" w:eastAsia="zh-CN"/>
              </w:rPr>
              <w:t>本次生态环境评价范围内生态保护目标主要为：</w:t>
            </w:r>
            <w:r>
              <w:rPr>
                <w:rFonts w:hint="default" w:ascii="Times New Roman" w:hAnsi="Times New Roman" w:eastAsia="宋体" w:cs="Times New Roman"/>
                <w:color w:val="auto"/>
                <w:kern w:val="0"/>
                <w:sz w:val="24"/>
                <w:szCs w:val="24"/>
                <w:highlight w:val="none"/>
                <w:lang w:val="en-US" w:eastAsia="zh-CN" w:bidi="ar"/>
              </w:rPr>
              <w:t>评价范围内的动植物、生物多样性等，</w:t>
            </w:r>
            <w:r>
              <w:rPr>
                <w:rFonts w:hint="default" w:ascii="Times New Roman" w:hAnsi="Times New Roman" w:eastAsia="宋体" w:cs="Times New Roman"/>
                <w:b w:val="0"/>
                <w:bCs w:val="0"/>
                <w:color w:val="auto"/>
                <w:sz w:val="24"/>
                <w:szCs w:val="24"/>
                <w:highlight w:val="none"/>
                <w:lang w:val="en-US" w:eastAsia="zh-CN"/>
              </w:rPr>
              <w:t>保护要求为保持评价区内生态系统稳定性和完整性，保护评价区内植物资源、生物多样性及动物不受影响。</w:t>
            </w:r>
          </w:p>
          <w:p w14:paraId="4EAEA938">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（2）地表水环境</w:t>
            </w:r>
            <w:r>
              <w:rPr>
                <w:rFonts w:hint="default" w:ascii="Times New Roman" w:hAnsi="Times New Roman" w:eastAsia="宋体" w:cs="Times New Roman"/>
                <w:b/>
                <w:bCs/>
                <w:color w:val="auto"/>
                <w:sz w:val="24"/>
                <w:highlight w:val="none"/>
                <w:lang w:eastAsia="zh-CN"/>
              </w:rPr>
              <w:t>保护</w:t>
            </w:r>
            <w:r>
              <w:rPr>
                <w:rFonts w:hint="default" w:ascii="Times New Roman" w:hAnsi="Times New Roman" w:eastAsia="宋体" w:cs="Times New Roman"/>
                <w:b/>
                <w:bCs/>
                <w:color w:val="auto"/>
                <w:sz w:val="24"/>
                <w:highlight w:val="none"/>
              </w:rPr>
              <w:t>目标</w:t>
            </w:r>
          </w:p>
          <w:p w14:paraId="11FA33C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color w:val="auto"/>
                <w:sz w:val="24"/>
                <w:highlight w:val="none"/>
              </w:rPr>
              <w:t>根据《环境影响评价技术导则</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地表水环境》（HJ2.3-2018），地表水环境保护目标</w:t>
            </w:r>
            <w:r>
              <w:rPr>
                <w:rFonts w:hint="default" w:ascii="Times New Roman" w:hAnsi="Times New Roman" w:eastAsia="宋体" w:cs="Times New Roman"/>
                <w:color w:val="auto"/>
                <w:sz w:val="24"/>
                <w:highlight w:val="none"/>
                <w:lang w:val="en-US" w:eastAsia="zh-CN"/>
              </w:rPr>
              <w:t>包括饮用水水源保护区、饮用水取水口，涉水的自然保护区、风景名胜区，重要湿地、重点保护与珍稀水生生物的栖息地、重要水生生物的自然产卵场及索饵场、越冬场和洄游通道，天然渔场等渔业水体，以及水产种质资源保护区等。根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sz w:val="24"/>
                <w:highlight w:val="none"/>
                <w:lang w:val="en-US" w:eastAsia="zh-CN"/>
              </w:rPr>
              <w:t>，升压站区域未设置地表水环境影响保护目标；根据现场调查，升压站施工期已结束，运营期不涉及废水外排，且项目不涉及上述</w:t>
            </w:r>
            <w:r>
              <w:rPr>
                <w:rFonts w:hint="default" w:ascii="Times New Roman" w:hAnsi="Times New Roman" w:eastAsia="宋体" w:cs="Times New Roman"/>
                <w:color w:val="auto"/>
                <w:sz w:val="24"/>
                <w:highlight w:val="none"/>
              </w:rPr>
              <w:t>地表水环境保护目标。</w:t>
            </w:r>
            <w:r>
              <w:rPr>
                <w:rFonts w:hint="default" w:ascii="Times New Roman" w:hAnsi="Times New Roman" w:eastAsia="宋体" w:cs="Times New Roman"/>
                <w:color w:val="auto"/>
                <w:sz w:val="24"/>
                <w:highlight w:val="none"/>
                <w:lang w:val="en-US" w:eastAsia="zh-CN"/>
              </w:rPr>
              <w:t>因此，项目</w:t>
            </w:r>
            <w:r>
              <w:rPr>
                <w:rFonts w:hint="default" w:ascii="Times New Roman" w:hAnsi="Times New Roman" w:eastAsia="宋体" w:cs="Times New Roman"/>
                <w:b w:val="0"/>
                <w:bCs w:val="0"/>
                <w:color w:val="auto"/>
                <w:sz w:val="24"/>
                <w:szCs w:val="24"/>
                <w:highlight w:val="none"/>
                <w:lang w:val="en-US" w:eastAsia="zh-CN"/>
              </w:rPr>
              <w:t>不设置</w:t>
            </w:r>
            <w:r>
              <w:rPr>
                <w:rFonts w:hint="default" w:ascii="Times New Roman" w:hAnsi="Times New Roman" w:eastAsia="宋体" w:cs="Times New Roman"/>
                <w:color w:val="auto"/>
                <w:sz w:val="24"/>
                <w:highlight w:val="none"/>
              </w:rPr>
              <w:t>地表水</w:t>
            </w:r>
            <w:r>
              <w:rPr>
                <w:rFonts w:hint="default" w:ascii="Times New Roman" w:hAnsi="Times New Roman" w:eastAsia="宋体" w:cs="Times New Roman"/>
                <w:b w:val="0"/>
                <w:bCs w:val="0"/>
                <w:color w:val="auto"/>
                <w:sz w:val="24"/>
                <w:szCs w:val="24"/>
                <w:highlight w:val="none"/>
                <w:lang w:val="en-US" w:eastAsia="zh-CN"/>
              </w:rPr>
              <w:t>环境保护目标。</w:t>
            </w:r>
          </w:p>
          <w:p w14:paraId="1EFB17AA">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（3）电磁环境保护目标</w:t>
            </w:r>
          </w:p>
          <w:p w14:paraId="5DC8948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本项目为220kV升压站建设项目，根据</w:t>
            </w:r>
            <w:r>
              <w:rPr>
                <w:rFonts w:hint="default" w:ascii="Times New Roman" w:hAnsi="Times New Roman" w:eastAsia="宋体" w:cs="Times New Roman"/>
                <w:color w:val="auto"/>
                <w:sz w:val="24"/>
                <w:highlight w:val="none"/>
              </w:rPr>
              <w:t>《环境影响评价技术导则输变电》（HJ24-2020），</w:t>
            </w:r>
            <w:r>
              <w:rPr>
                <w:rFonts w:hint="default" w:ascii="Times New Roman" w:hAnsi="Times New Roman" w:eastAsia="宋体" w:cs="Times New Roman"/>
                <w:color w:val="auto"/>
                <w:sz w:val="24"/>
                <w:highlight w:val="none"/>
                <w:lang w:val="en-US" w:eastAsia="zh-CN"/>
              </w:rPr>
              <w:t>220kV变电站、升压站</w:t>
            </w:r>
            <w:r>
              <w:rPr>
                <w:rFonts w:hint="default" w:ascii="Times New Roman" w:hAnsi="Times New Roman" w:eastAsia="宋体" w:cs="Times New Roman"/>
                <w:color w:val="auto"/>
                <w:sz w:val="24"/>
                <w:highlight w:val="none"/>
              </w:rPr>
              <w:t>电磁环境评价范围为</w:t>
            </w:r>
            <w:r>
              <w:rPr>
                <w:rFonts w:hint="default" w:ascii="Times New Roman" w:hAnsi="Times New Roman" w:eastAsia="宋体" w:cs="Times New Roman"/>
                <w:color w:val="auto"/>
                <w:sz w:val="24"/>
                <w:highlight w:val="none"/>
                <w:lang w:val="en-US" w:eastAsia="zh-CN"/>
              </w:rPr>
              <w:t>升压站站界外4</w:t>
            </w:r>
            <w:r>
              <w:rPr>
                <w:rFonts w:hint="default" w:ascii="Times New Roman" w:hAnsi="Times New Roman" w:eastAsia="宋体" w:cs="Times New Roman"/>
                <w:color w:val="auto"/>
                <w:sz w:val="24"/>
                <w:highlight w:val="none"/>
              </w:rPr>
              <w:t>0m。</w:t>
            </w:r>
            <w:r>
              <w:rPr>
                <w:rFonts w:hint="default" w:ascii="Times New Roman" w:hAnsi="Times New Roman" w:eastAsia="宋体" w:cs="Times New Roman"/>
                <w:color w:val="auto"/>
                <w:sz w:val="24"/>
                <w:highlight w:val="none"/>
                <w:lang w:val="en-US" w:eastAsia="zh-CN"/>
              </w:rPr>
              <w:t>根据现场调查，</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升压站站界外4</w:t>
            </w:r>
            <w:r>
              <w:rPr>
                <w:rFonts w:hint="default" w:ascii="Times New Roman" w:hAnsi="Times New Roman" w:eastAsia="宋体" w:cs="Times New Roman"/>
                <w:color w:val="auto"/>
                <w:sz w:val="24"/>
                <w:highlight w:val="none"/>
              </w:rPr>
              <w:t>0m</w:t>
            </w:r>
            <w:r>
              <w:rPr>
                <w:rFonts w:hint="default" w:ascii="Times New Roman" w:hAnsi="Times New Roman" w:eastAsia="宋体" w:cs="Times New Roman"/>
                <w:color w:val="auto"/>
                <w:sz w:val="24"/>
                <w:highlight w:val="none"/>
                <w:lang w:val="en-US" w:eastAsia="zh-CN"/>
              </w:rPr>
              <w:t>范围内无电磁环境保护目标</w:t>
            </w:r>
            <w:r>
              <w:rPr>
                <w:rFonts w:hint="default" w:ascii="Times New Roman" w:hAnsi="Times New Roman" w:eastAsia="宋体" w:cs="Times New Roman"/>
                <w:color w:val="auto"/>
                <w:sz w:val="24"/>
                <w:szCs w:val="24"/>
                <w:highlight w:val="none"/>
                <w:lang w:eastAsia="zh-CN"/>
              </w:rPr>
              <w:t>。</w:t>
            </w:r>
          </w:p>
          <w:p w14:paraId="04403F2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（4）声环境保护目标</w:t>
            </w:r>
          </w:p>
          <w:p w14:paraId="6B032C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sz w:val="24"/>
                <w:highlight w:val="none"/>
                <w:lang w:val="en-US" w:eastAsia="zh-CN"/>
              </w:rPr>
              <w:t>升压站周边声环境</w:t>
            </w:r>
            <w:r>
              <w:rPr>
                <w:rFonts w:hint="default" w:ascii="Times New Roman" w:hAnsi="Times New Roman" w:eastAsia="宋体" w:cs="Times New Roman"/>
                <w:color w:val="auto"/>
                <w:sz w:val="24"/>
                <w:szCs w:val="24"/>
                <w:highlight w:val="none"/>
                <w:lang w:val="en-US" w:eastAsia="zh-CN"/>
              </w:rPr>
              <w:t>50m</w:t>
            </w:r>
            <w:r>
              <w:rPr>
                <w:rFonts w:hint="default" w:ascii="Times New Roman" w:hAnsi="Times New Roman" w:eastAsia="宋体" w:cs="Times New Roman"/>
                <w:color w:val="auto"/>
                <w:sz w:val="24"/>
                <w:highlight w:val="none"/>
                <w:lang w:val="en-US" w:eastAsia="zh-CN"/>
              </w:rPr>
              <w:t>范围内保护目标仅为站址南侧约45m处的阿吾作科村散户。详见下表：</w:t>
            </w:r>
          </w:p>
          <w:p w14:paraId="12EEC7CB">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表3-9  升压站声环境保护目标一览表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59"/>
              <w:gridCol w:w="1590"/>
              <w:gridCol w:w="780"/>
              <w:gridCol w:w="1365"/>
              <w:gridCol w:w="780"/>
              <w:gridCol w:w="810"/>
              <w:gridCol w:w="723"/>
            </w:tblGrid>
            <w:tr w14:paraId="3E6A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25" w:type="pct"/>
                  <w:noWrap w:val="0"/>
                  <w:vAlign w:val="center"/>
                </w:tcPr>
                <w:p w14:paraId="1029BE3C">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14:paraId="755BCFF6">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735" w:type="pct"/>
                  <w:noWrap w:val="0"/>
                  <w:vAlign w:val="center"/>
                </w:tcPr>
                <w:p w14:paraId="25C16900">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009" w:type="pct"/>
                  <w:noWrap w:val="0"/>
                  <w:vAlign w:val="center"/>
                </w:tcPr>
                <w:p w14:paraId="2968138F">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495" w:type="pct"/>
                  <w:noWrap w:val="0"/>
                  <w:vAlign w:val="center"/>
                </w:tcPr>
                <w:p w14:paraId="6E066034">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866" w:type="pct"/>
                  <w:noWrap w:val="0"/>
                  <w:vAlign w:val="center"/>
                </w:tcPr>
                <w:p w14:paraId="184598FF">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保护内容</w:t>
                  </w:r>
                </w:p>
              </w:tc>
              <w:tc>
                <w:tcPr>
                  <w:tcW w:w="495" w:type="pct"/>
                  <w:noWrap w:val="0"/>
                  <w:vAlign w:val="center"/>
                </w:tcPr>
                <w:p w14:paraId="4CE810A4">
                  <w:pPr>
                    <w:keepNext w:val="0"/>
                    <w:keepLines w:val="0"/>
                    <w:pageBreakBefore w:val="0"/>
                    <w:widowControl w:val="0"/>
                    <w:kinsoku/>
                    <w:wordWrap/>
                    <w:overflowPunct/>
                    <w:topLinePunct w:val="0"/>
                    <w:autoSpaceDE/>
                    <w:autoSpaceDN/>
                    <w:bidi w:val="0"/>
                    <w:adjustRightInd w:val="0"/>
                    <w:snapToGrid/>
                    <w:spacing w:line="30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功能区</w:t>
                  </w:r>
                </w:p>
              </w:tc>
              <w:tc>
                <w:tcPr>
                  <w:tcW w:w="514" w:type="pct"/>
                  <w:noWrap w:val="0"/>
                  <w:vAlign w:val="center"/>
                </w:tcPr>
                <w:p w14:paraId="3834A9BD">
                  <w:pPr>
                    <w:keepNext w:val="0"/>
                    <w:keepLines w:val="0"/>
                    <w:pageBreakBefore w:val="0"/>
                    <w:widowControl w:val="0"/>
                    <w:kinsoku/>
                    <w:wordWrap/>
                    <w:overflowPunct/>
                    <w:topLinePunct w:val="0"/>
                    <w:autoSpaceDE/>
                    <w:autoSpaceDN/>
                    <w:bidi w:val="0"/>
                    <w:adjustRightInd w:val="0"/>
                    <w:snapToGrid/>
                    <w:spacing w:line="30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相对厂址方位</w:t>
                  </w:r>
                </w:p>
              </w:tc>
              <w:tc>
                <w:tcPr>
                  <w:tcW w:w="458" w:type="pct"/>
                  <w:noWrap w:val="0"/>
                  <w:vAlign w:val="center"/>
                </w:tcPr>
                <w:p w14:paraId="793F13B0">
                  <w:pPr>
                    <w:keepNext w:val="0"/>
                    <w:keepLines w:val="0"/>
                    <w:pageBreakBefore w:val="0"/>
                    <w:widowControl w:val="0"/>
                    <w:kinsoku/>
                    <w:wordWrap/>
                    <w:overflowPunct/>
                    <w:topLinePunct w:val="0"/>
                    <w:autoSpaceDE/>
                    <w:autoSpaceDN/>
                    <w:bidi w:val="0"/>
                    <w:adjustRightInd w:val="0"/>
                    <w:snapToGrid/>
                    <w:spacing w:line="30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
                    </w:rPr>
                    <w:t>最近直线</w:t>
                  </w:r>
                  <w:r>
                    <w:rPr>
                      <w:rFonts w:hint="default" w:ascii="Times New Roman" w:hAnsi="Times New Roman" w:eastAsia="宋体" w:cs="Times New Roman"/>
                      <w:color w:val="auto"/>
                      <w:sz w:val="21"/>
                      <w:szCs w:val="21"/>
                      <w:highlight w:val="none"/>
                      <w:lang w:bidi="ar"/>
                    </w:rPr>
                    <w:t>距离</w:t>
                  </w:r>
                </w:p>
              </w:tc>
            </w:tr>
            <w:tr w14:paraId="7CF3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14:paraId="369385D6">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w:t>
                  </w:r>
                </w:p>
              </w:tc>
              <w:tc>
                <w:tcPr>
                  <w:tcW w:w="4574" w:type="pct"/>
                  <w:gridSpan w:val="7"/>
                  <w:noWrap w:val="0"/>
                  <w:vAlign w:val="center"/>
                </w:tcPr>
                <w:p w14:paraId="7BA1D3CF">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升压站</w:t>
                  </w:r>
                </w:p>
              </w:tc>
            </w:tr>
            <w:tr w14:paraId="0712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14:paraId="67635A95">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p>
              </w:tc>
              <w:tc>
                <w:tcPr>
                  <w:tcW w:w="735" w:type="pct"/>
                  <w:noWrap w:val="0"/>
                  <w:vAlign w:val="center"/>
                </w:tcPr>
                <w:p w14:paraId="53767FDC">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阿吾作科</w:t>
                  </w:r>
                  <w:r>
                    <w:rPr>
                      <w:rFonts w:hint="default" w:ascii="Times New Roman" w:hAnsi="Times New Roman" w:eastAsia="宋体" w:cs="Times New Roman"/>
                      <w:color w:val="auto"/>
                      <w:sz w:val="21"/>
                      <w:szCs w:val="21"/>
                      <w:highlight w:val="none"/>
                      <w:lang w:val="en-US" w:eastAsia="zh-CN"/>
                    </w:rPr>
                    <w:t>村散户</w:t>
                  </w:r>
                </w:p>
              </w:tc>
              <w:tc>
                <w:tcPr>
                  <w:tcW w:w="1009" w:type="pct"/>
                  <w:noWrap w:val="0"/>
                  <w:vAlign w:val="center"/>
                </w:tcPr>
                <w:p w14:paraId="79EBC717">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E102°35′14.62″</w:t>
                  </w:r>
                </w:p>
                <w:p w14:paraId="5171A161">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N25°50′4.15″</w:t>
                  </w:r>
                </w:p>
              </w:tc>
              <w:tc>
                <w:tcPr>
                  <w:tcW w:w="495" w:type="pct"/>
                  <w:noWrap w:val="0"/>
                  <w:vAlign w:val="center"/>
                </w:tcPr>
                <w:p w14:paraId="04855195">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866" w:type="pct"/>
                  <w:noWrap w:val="0"/>
                  <w:vAlign w:val="center"/>
                </w:tcPr>
                <w:p w14:paraId="79D99B03">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户</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人</w:t>
                  </w:r>
                </w:p>
              </w:tc>
              <w:tc>
                <w:tcPr>
                  <w:tcW w:w="495" w:type="pct"/>
                  <w:noWrap w:val="0"/>
                  <w:vAlign w:val="center"/>
                </w:tcPr>
                <w:p w14:paraId="1ACDE7A9">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c>
                <w:tcPr>
                  <w:tcW w:w="514" w:type="pct"/>
                  <w:noWrap w:val="0"/>
                  <w:vAlign w:val="center"/>
                </w:tcPr>
                <w:p w14:paraId="19BC6BE4">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458" w:type="pct"/>
                  <w:noWrap w:val="0"/>
                  <w:vAlign w:val="center"/>
                </w:tcPr>
                <w:p w14:paraId="3B89817F">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45m</w:t>
                  </w:r>
                </w:p>
              </w:tc>
            </w:tr>
          </w:tbl>
          <w:p w14:paraId="34EBE97E">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大气环境保护目标</w:t>
            </w:r>
          </w:p>
          <w:p w14:paraId="4443EB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sz w:val="24"/>
                <w:highlight w:val="none"/>
                <w:lang w:val="en-US" w:eastAsia="zh-CN"/>
              </w:rPr>
              <w:t>升压站大气环境保护目标仅为站址南侧的阿吾作科村。详见下表：</w:t>
            </w:r>
          </w:p>
          <w:p w14:paraId="4D8F7128">
            <w:pPr>
              <w:pStyle w:val="33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表3-10  升压站大气环境保护目标一览表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29"/>
              <w:gridCol w:w="1665"/>
              <w:gridCol w:w="735"/>
              <w:gridCol w:w="1152"/>
              <w:gridCol w:w="756"/>
              <w:gridCol w:w="807"/>
              <w:gridCol w:w="963"/>
            </w:tblGrid>
            <w:tr w14:paraId="6EA1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25" w:type="pct"/>
                  <w:noWrap w:val="0"/>
                  <w:vAlign w:val="center"/>
                </w:tcPr>
                <w:p w14:paraId="7F033934">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14:paraId="7BAA8173">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716" w:type="pct"/>
                  <w:noWrap w:val="0"/>
                  <w:vAlign w:val="center"/>
                </w:tcPr>
                <w:p w14:paraId="3CA93291">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056" w:type="pct"/>
                  <w:noWrap w:val="0"/>
                  <w:vAlign w:val="center"/>
                </w:tcPr>
                <w:p w14:paraId="65EDC95D">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466" w:type="pct"/>
                  <w:noWrap w:val="0"/>
                  <w:vAlign w:val="center"/>
                </w:tcPr>
                <w:p w14:paraId="0722C8DA">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731" w:type="pct"/>
                  <w:noWrap w:val="0"/>
                  <w:vAlign w:val="center"/>
                </w:tcPr>
                <w:p w14:paraId="3325D491">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保护内容</w:t>
                  </w:r>
                </w:p>
              </w:tc>
              <w:tc>
                <w:tcPr>
                  <w:tcW w:w="479" w:type="pct"/>
                  <w:noWrap w:val="0"/>
                  <w:vAlign w:val="center"/>
                </w:tcPr>
                <w:p w14:paraId="332AEAF7">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功能区</w:t>
                  </w:r>
                </w:p>
              </w:tc>
              <w:tc>
                <w:tcPr>
                  <w:tcW w:w="512" w:type="pct"/>
                  <w:noWrap w:val="0"/>
                  <w:vAlign w:val="center"/>
                </w:tcPr>
                <w:p w14:paraId="68ABB4AF">
                  <w:pPr>
                    <w:keepNext w:val="0"/>
                    <w:keepLines w:val="0"/>
                    <w:pageBreakBefore w:val="0"/>
                    <w:widowControl w:val="0"/>
                    <w:kinsoku/>
                    <w:wordWrap/>
                    <w:overflowPunct/>
                    <w:topLinePunct w:val="0"/>
                    <w:autoSpaceDE/>
                    <w:autoSpaceDN/>
                    <w:bidi w:val="0"/>
                    <w:adjustRightInd w:val="0"/>
                    <w:snapToGrid/>
                    <w:spacing w:line="30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相对厂址方位</w:t>
                  </w:r>
                </w:p>
              </w:tc>
              <w:tc>
                <w:tcPr>
                  <w:tcW w:w="611" w:type="pct"/>
                  <w:noWrap w:val="0"/>
                  <w:vAlign w:val="center"/>
                </w:tcPr>
                <w:p w14:paraId="3480B418">
                  <w:pPr>
                    <w:keepNext w:val="0"/>
                    <w:keepLines w:val="0"/>
                    <w:pageBreakBefore w:val="0"/>
                    <w:widowControl w:val="0"/>
                    <w:kinsoku/>
                    <w:wordWrap/>
                    <w:overflowPunct/>
                    <w:topLinePunct w:val="0"/>
                    <w:autoSpaceDE/>
                    <w:autoSpaceDN/>
                    <w:bidi w:val="0"/>
                    <w:adjustRightInd w:val="0"/>
                    <w:snapToGrid/>
                    <w:spacing w:line="30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
                    </w:rPr>
                    <w:t>最近直线</w:t>
                  </w:r>
                  <w:r>
                    <w:rPr>
                      <w:rFonts w:hint="default" w:ascii="Times New Roman" w:hAnsi="Times New Roman" w:eastAsia="宋体" w:cs="Times New Roman"/>
                      <w:color w:val="auto"/>
                      <w:sz w:val="21"/>
                      <w:szCs w:val="21"/>
                      <w:highlight w:val="none"/>
                      <w:lang w:bidi="ar"/>
                    </w:rPr>
                    <w:t>距离</w:t>
                  </w:r>
                </w:p>
              </w:tc>
            </w:tr>
            <w:tr w14:paraId="54EB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14:paraId="06274419">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4574" w:type="pct"/>
                  <w:gridSpan w:val="7"/>
                  <w:noWrap w:val="0"/>
                  <w:vAlign w:val="center"/>
                </w:tcPr>
                <w:p w14:paraId="5854AF98">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升压站</w:t>
                  </w:r>
                </w:p>
              </w:tc>
            </w:tr>
            <w:tr w14:paraId="7CF7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14:paraId="4B735D41">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p>
              </w:tc>
              <w:tc>
                <w:tcPr>
                  <w:tcW w:w="716" w:type="pct"/>
                  <w:noWrap w:val="0"/>
                  <w:vAlign w:val="center"/>
                </w:tcPr>
                <w:p w14:paraId="2EE4AD38">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阿吾作科</w:t>
                  </w:r>
                  <w:r>
                    <w:rPr>
                      <w:rFonts w:hint="default" w:ascii="Times New Roman" w:hAnsi="Times New Roman" w:eastAsia="宋体" w:cs="Times New Roman"/>
                      <w:color w:val="auto"/>
                      <w:sz w:val="21"/>
                      <w:szCs w:val="21"/>
                      <w:highlight w:val="none"/>
                      <w:lang w:val="en-US" w:eastAsia="zh-CN"/>
                    </w:rPr>
                    <w:t>村居民</w:t>
                  </w:r>
                </w:p>
              </w:tc>
              <w:tc>
                <w:tcPr>
                  <w:tcW w:w="1056" w:type="pct"/>
                  <w:noWrap w:val="0"/>
                  <w:vAlign w:val="center"/>
                </w:tcPr>
                <w:p w14:paraId="7C2BBCED">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E102°35′14.62″</w:t>
                  </w:r>
                </w:p>
                <w:p w14:paraId="0146CDA5">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N25°50′4.15″</w:t>
                  </w:r>
                </w:p>
              </w:tc>
              <w:tc>
                <w:tcPr>
                  <w:tcW w:w="466" w:type="pct"/>
                  <w:noWrap w:val="0"/>
                  <w:vAlign w:val="center"/>
                </w:tcPr>
                <w:p w14:paraId="234810BC">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731" w:type="pct"/>
                  <w:noWrap w:val="0"/>
                  <w:vAlign w:val="center"/>
                </w:tcPr>
                <w:p w14:paraId="0BCECC27">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17户63人</w:t>
                  </w:r>
                </w:p>
              </w:tc>
              <w:tc>
                <w:tcPr>
                  <w:tcW w:w="479" w:type="pct"/>
                  <w:noWrap w:val="0"/>
                  <w:vAlign w:val="center"/>
                </w:tcPr>
                <w:p w14:paraId="057D9940">
                  <w:pPr>
                    <w:keepNext w:val="0"/>
                    <w:keepLines w:val="0"/>
                    <w:pageBreakBefore w:val="0"/>
                    <w:widowControl w:val="0"/>
                    <w:kinsoku/>
                    <w:wordWrap/>
                    <w:overflowPunct/>
                    <w:topLinePunct w:val="0"/>
                    <w:autoSpaceDE/>
                    <w:autoSpaceDN/>
                    <w:bidi w:val="0"/>
                    <w:adjustRightInd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类</w:t>
                  </w:r>
                </w:p>
              </w:tc>
              <w:tc>
                <w:tcPr>
                  <w:tcW w:w="512" w:type="pct"/>
                  <w:noWrap w:val="0"/>
                  <w:vAlign w:val="center"/>
                </w:tcPr>
                <w:p w14:paraId="7343D3E5">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611" w:type="pct"/>
                  <w:noWrap w:val="0"/>
                  <w:vAlign w:val="center"/>
                </w:tcPr>
                <w:p w14:paraId="3C989B40">
                  <w:pPr>
                    <w:keepNext w:val="0"/>
                    <w:keepLines w:val="0"/>
                    <w:pageBreakBefore w:val="0"/>
                    <w:widowControl w:val="0"/>
                    <w:kinsoku/>
                    <w:wordWrap/>
                    <w:overflowPunct/>
                    <w:topLinePunct w:val="0"/>
                    <w:autoSpaceDE/>
                    <w:autoSpaceDN/>
                    <w:bidi w:val="0"/>
                    <w:snapToGrid/>
                    <w:spacing w:line="30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45m</w:t>
                  </w:r>
                </w:p>
              </w:tc>
            </w:tr>
          </w:tbl>
          <w:p w14:paraId="59F16D0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tc>
      </w:tr>
      <w:tr w14:paraId="7ED21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39" w:type="dxa"/>
            <w:vAlign w:val="center"/>
          </w:tcPr>
          <w:p w14:paraId="6F751B49">
            <w:pPr>
              <w:adjustRightInd w:val="0"/>
              <w:spacing w:line="360" w:lineRule="auto"/>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评价</w:t>
            </w:r>
          </w:p>
          <w:p w14:paraId="505B0AA9">
            <w:pPr>
              <w:adjustRightInd w:val="0"/>
              <w:spacing w:line="360" w:lineRule="auto"/>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标准</w:t>
            </w:r>
          </w:p>
        </w:tc>
        <w:tc>
          <w:tcPr>
            <w:tcW w:w="8105" w:type="dxa"/>
            <w:vAlign w:val="center"/>
          </w:tcPr>
          <w:p w14:paraId="608C9286">
            <w:pPr>
              <w:adjustRightIn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1、环境质量标准</w:t>
            </w:r>
          </w:p>
          <w:p w14:paraId="09F8801F">
            <w:pPr>
              <w:adjustRightIn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（1）环境空气</w:t>
            </w:r>
          </w:p>
          <w:p w14:paraId="18614E9C">
            <w:pPr>
              <w:adjustRightInd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val="0"/>
                <w:bCs w:val="0"/>
                <w:color w:val="auto"/>
                <w:sz w:val="24"/>
                <w:szCs w:val="24"/>
                <w:highlight w:val="none"/>
              </w:rPr>
              <w:t>本工程位于</w:t>
            </w:r>
            <w:r>
              <w:rPr>
                <w:rFonts w:hint="default" w:ascii="Times New Roman" w:hAnsi="Times New Roman" w:eastAsia="宋体" w:cs="Times New Roman"/>
                <w:color w:val="auto"/>
                <w:sz w:val="24"/>
                <w:szCs w:val="24"/>
                <w:highlight w:val="none"/>
              </w:rPr>
              <w:t>昆明市禄劝县团街镇</w:t>
            </w:r>
            <w:r>
              <w:rPr>
                <w:rFonts w:hint="default" w:ascii="Times New Roman" w:hAnsi="Times New Roman" w:eastAsia="宋体" w:cs="Times New Roman"/>
                <w:color w:val="auto"/>
                <w:sz w:val="24"/>
                <w:szCs w:val="24"/>
                <w:highlight w:val="none"/>
                <w:lang w:val="en-US" w:eastAsia="zh-CN"/>
              </w:rPr>
              <w:t>境内</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color w:val="auto"/>
                <w:sz w:val="24"/>
                <w:highlight w:val="none"/>
              </w:rPr>
              <w:t>项目所在区域为环境空气质量二类区，环境空气质量执行《环境空气质量标准》（GB3095-2012）</w:t>
            </w:r>
            <w:r>
              <w:rPr>
                <w:rFonts w:hint="default" w:ascii="Times New Roman" w:hAnsi="Times New Roman" w:eastAsia="宋体" w:cs="Times New Roman"/>
                <w:color w:val="auto"/>
                <w:sz w:val="24"/>
                <w:highlight w:val="none"/>
                <w:lang w:val="en-US" w:eastAsia="zh-CN"/>
              </w:rPr>
              <w:t>及其修改单</w:t>
            </w:r>
            <w:r>
              <w:rPr>
                <w:rFonts w:hint="default" w:ascii="Times New Roman" w:hAnsi="Times New Roman" w:eastAsia="宋体" w:cs="Times New Roman"/>
                <w:color w:val="auto"/>
                <w:sz w:val="24"/>
                <w:highlight w:val="none"/>
              </w:rPr>
              <w:t>二级标准</w:t>
            </w:r>
            <w:r>
              <w:rPr>
                <w:rFonts w:hint="default" w:ascii="Times New Roman" w:hAnsi="Times New Roman" w:eastAsia="宋体" w:cs="Times New Roman"/>
                <w:color w:val="auto"/>
                <w:sz w:val="24"/>
                <w:highlight w:val="none"/>
                <w:lang w:eastAsia="zh-CN"/>
              </w:rPr>
              <w:t>。</w:t>
            </w:r>
          </w:p>
          <w:p w14:paraId="4FC65103">
            <w:pPr>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具体执行</w:t>
            </w:r>
            <w:r>
              <w:rPr>
                <w:rFonts w:hint="default" w:ascii="Times New Roman" w:hAnsi="Times New Roman" w:eastAsia="宋体" w:cs="Times New Roman"/>
                <w:color w:val="auto"/>
                <w:sz w:val="24"/>
                <w:highlight w:val="none"/>
              </w:rPr>
              <w:t>标准值见下表。</w:t>
            </w:r>
          </w:p>
          <w:p w14:paraId="0CD91426">
            <w:pPr>
              <w:pStyle w:val="18"/>
              <w:keepNext/>
              <w:adjustRightInd w:val="0"/>
              <w:rPr>
                <w:rFonts w:hint="default" w:ascii="Times New Roman" w:hAnsi="Times New Roman" w:eastAsia="宋体" w:cs="Times New Roman"/>
                <w:bCs/>
                <w:color w:val="auto"/>
                <w:sz w:val="24"/>
                <w:szCs w:val="24"/>
                <w:highlight w:val="none"/>
              </w:rPr>
            </w:pPr>
          </w:p>
          <w:p w14:paraId="4AEB3749">
            <w:pPr>
              <w:pStyle w:val="18"/>
              <w:keepNext/>
              <w:adjustRightInd w:val="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表3-</w:t>
            </w:r>
            <w:r>
              <w:rPr>
                <w:rFonts w:hint="default" w:ascii="Times New Roman" w:hAnsi="Times New Roman" w:eastAsia="宋体" w:cs="Times New Roman"/>
                <w:bCs/>
                <w:color w:val="auto"/>
                <w:sz w:val="24"/>
                <w:szCs w:val="24"/>
                <w:highlight w:val="none"/>
                <w:lang w:val="en-US" w:eastAsia="zh-CN"/>
              </w:rPr>
              <w:t xml:space="preserve">11  </w:t>
            </w:r>
            <w:r>
              <w:rPr>
                <w:rFonts w:hint="default" w:ascii="Times New Roman" w:hAnsi="Times New Roman" w:eastAsia="宋体" w:cs="Times New Roman"/>
                <w:bCs/>
                <w:color w:val="auto"/>
                <w:sz w:val="24"/>
                <w:szCs w:val="24"/>
                <w:highlight w:val="none"/>
              </w:rPr>
              <w:t>环境空气质量标准二级浓度限值</w:t>
            </w:r>
          </w:p>
          <w:tbl>
            <w:tblPr>
              <w:tblStyle w:val="49"/>
              <w:tblW w:w="8017" w:type="dxa"/>
              <w:jc w:val="center"/>
              <w:tblLayout w:type="fixed"/>
              <w:tblCellMar>
                <w:top w:w="0" w:type="dxa"/>
                <w:left w:w="108" w:type="dxa"/>
                <w:bottom w:w="0" w:type="dxa"/>
                <w:right w:w="108" w:type="dxa"/>
              </w:tblCellMar>
            </w:tblPr>
            <w:tblGrid>
              <w:gridCol w:w="1311"/>
              <w:gridCol w:w="2468"/>
              <w:gridCol w:w="1688"/>
              <w:gridCol w:w="1262"/>
              <w:gridCol w:w="1288"/>
            </w:tblGrid>
            <w:tr w14:paraId="5726FAD3">
              <w:tblPrEx>
                <w:tblCellMar>
                  <w:top w:w="0" w:type="dxa"/>
                  <w:left w:w="108" w:type="dxa"/>
                  <w:bottom w:w="0" w:type="dxa"/>
                  <w:right w:w="108" w:type="dxa"/>
                </w:tblCellMar>
              </w:tblPrEx>
              <w:trPr>
                <w:trHeight w:val="403" w:hRule="atLeast"/>
                <w:jc w:val="center"/>
              </w:trPr>
              <w:tc>
                <w:tcPr>
                  <w:tcW w:w="1311" w:type="dxa"/>
                  <w:tcBorders>
                    <w:top w:val="single" w:color="auto" w:sz="4" w:space="0"/>
                    <w:left w:val="single" w:color="auto" w:sz="4" w:space="0"/>
                    <w:bottom w:val="single" w:color="auto" w:sz="4" w:space="0"/>
                    <w:right w:val="single" w:color="auto" w:sz="4" w:space="0"/>
                  </w:tcBorders>
                  <w:vAlign w:val="center"/>
                </w:tcPr>
                <w:p w14:paraId="4227D14B">
                  <w:pPr>
                    <w:widowControl/>
                    <w:adjustRightIn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指标</w:t>
                  </w:r>
                </w:p>
              </w:tc>
              <w:tc>
                <w:tcPr>
                  <w:tcW w:w="2468" w:type="dxa"/>
                  <w:tcBorders>
                    <w:top w:val="single" w:color="auto" w:sz="4" w:space="0"/>
                    <w:left w:val="nil"/>
                    <w:bottom w:val="single" w:color="auto" w:sz="4" w:space="0"/>
                    <w:right w:val="single" w:color="auto" w:sz="4" w:space="0"/>
                  </w:tcBorders>
                  <w:vAlign w:val="center"/>
                </w:tcPr>
                <w:p w14:paraId="0C9D2AB6">
                  <w:pPr>
                    <w:widowControl/>
                    <w:adjustRightIn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en-US" w:eastAsia="zh-CN"/>
                    </w:rPr>
                    <w:t>平均</w:t>
                  </w:r>
                  <w:r>
                    <w:rPr>
                      <w:rFonts w:hint="default" w:ascii="Times New Roman" w:hAnsi="Times New Roman" w:eastAsia="宋体" w:cs="Times New Roman"/>
                      <w:b/>
                      <w:bCs/>
                      <w:color w:val="auto"/>
                      <w:kern w:val="0"/>
                      <w:szCs w:val="21"/>
                      <w:highlight w:val="none"/>
                    </w:rPr>
                    <w:t>时间</w:t>
                  </w:r>
                </w:p>
              </w:tc>
              <w:tc>
                <w:tcPr>
                  <w:tcW w:w="1688" w:type="dxa"/>
                  <w:tcBorders>
                    <w:top w:val="single" w:color="auto" w:sz="4" w:space="0"/>
                    <w:left w:val="nil"/>
                    <w:bottom w:val="single" w:color="auto" w:sz="4" w:space="0"/>
                    <w:right w:val="single" w:color="auto" w:sz="4" w:space="0"/>
                  </w:tcBorders>
                  <w:vAlign w:val="center"/>
                </w:tcPr>
                <w:p w14:paraId="35C17069">
                  <w:pPr>
                    <w:widowControl/>
                    <w:adjustRightInd w:val="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kern w:val="0"/>
                      <w:szCs w:val="21"/>
                      <w:highlight w:val="none"/>
                    </w:rPr>
                    <w:t>浓度</w:t>
                  </w:r>
                  <w:r>
                    <w:rPr>
                      <w:rFonts w:hint="default" w:ascii="Times New Roman" w:hAnsi="Times New Roman" w:eastAsia="宋体" w:cs="Times New Roman"/>
                      <w:b/>
                      <w:bCs/>
                      <w:color w:val="auto"/>
                      <w:kern w:val="0"/>
                      <w:szCs w:val="21"/>
                      <w:highlight w:val="none"/>
                      <w:lang w:val="en-US" w:eastAsia="zh-CN"/>
                    </w:rPr>
                    <w:t>限值</w:t>
                  </w:r>
                </w:p>
              </w:tc>
              <w:tc>
                <w:tcPr>
                  <w:tcW w:w="1262" w:type="dxa"/>
                  <w:tcBorders>
                    <w:top w:val="single" w:color="auto" w:sz="4" w:space="0"/>
                    <w:left w:val="nil"/>
                    <w:bottom w:val="single" w:color="auto" w:sz="4" w:space="0"/>
                    <w:right w:val="single" w:color="auto" w:sz="4" w:space="0"/>
                  </w:tcBorders>
                  <w:vAlign w:val="center"/>
                </w:tcPr>
                <w:p w14:paraId="7910088B">
                  <w:pPr>
                    <w:widowControl/>
                    <w:adjustRightIn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单位</w:t>
                  </w:r>
                </w:p>
              </w:tc>
              <w:tc>
                <w:tcPr>
                  <w:tcW w:w="1288" w:type="dxa"/>
                  <w:tcBorders>
                    <w:top w:val="single" w:color="auto" w:sz="4" w:space="0"/>
                    <w:left w:val="nil"/>
                    <w:bottom w:val="single" w:color="auto" w:sz="4" w:space="0"/>
                    <w:right w:val="single" w:color="auto" w:sz="4" w:space="0"/>
                  </w:tcBorders>
                  <w:vAlign w:val="center"/>
                </w:tcPr>
                <w:p w14:paraId="031704A5">
                  <w:pPr>
                    <w:widowControl/>
                    <w:adjustRightInd w:val="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kern w:val="0"/>
                      <w:szCs w:val="21"/>
                      <w:highlight w:val="none"/>
                    </w:rPr>
                    <w:t>标准</w:t>
                  </w:r>
                  <w:r>
                    <w:rPr>
                      <w:rFonts w:hint="default" w:ascii="Times New Roman" w:hAnsi="Times New Roman" w:eastAsia="宋体" w:cs="Times New Roman"/>
                      <w:b/>
                      <w:bCs/>
                      <w:color w:val="auto"/>
                      <w:kern w:val="0"/>
                      <w:szCs w:val="21"/>
                      <w:highlight w:val="none"/>
                      <w:lang w:val="en-US" w:eastAsia="zh-CN"/>
                    </w:rPr>
                    <w:t>来源</w:t>
                  </w:r>
                </w:p>
              </w:tc>
            </w:tr>
            <w:tr w14:paraId="2D779CD3">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095CEB19">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SO</w:t>
                  </w:r>
                  <w:r>
                    <w:rPr>
                      <w:rFonts w:hint="default" w:ascii="Times New Roman" w:hAnsi="Times New Roman" w:eastAsia="宋体" w:cs="Times New Roman"/>
                      <w:color w:val="auto"/>
                      <w:kern w:val="0"/>
                      <w:szCs w:val="21"/>
                      <w:highlight w:val="none"/>
                      <w:vertAlign w:val="subscript"/>
                    </w:rPr>
                    <w:t>2</w:t>
                  </w:r>
                </w:p>
              </w:tc>
              <w:tc>
                <w:tcPr>
                  <w:tcW w:w="2468" w:type="dxa"/>
                  <w:tcBorders>
                    <w:top w:val="nil"/>
                    <w:left w:val="nil"/>
                    <w:bottom w:val="single" w:color="auto" w:sz="4" w:space="0"/>
                    <w:right w:val="single" w:color="auto" w:sz="4" w:space="0"/>
                  </w:tcBorders>
                  <w:vAlign w:val="center"/>
                </w:tcPr>
                <w:p w14:paraId="0A6EB466">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w:t>
                  </w:r>
                </w:p>
              </w:tc>
              <w:tc>
                <w:tcPr>
                  <w:tcW w:w="1688" w:type="dxa"/>
                  <w:tcBorders>
                    <w:top w:val="nil"/>
                    <w:left w:val="nil"/>
                    <w:bottom w:val="single" w:color="auto" w:sz="4" w:space="0"/>
                    <w:right w:val="single" w:color="auto" w:sz="4" w:space="0"/>
                  </w:tcBorders>
                  <w:vAlign w:val="center"/>
                </w:tcPr>
                <w:p w14:paraId="2F0F454C">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60</w:t>
                  </w:r>
                </w:p>
              </w:tc>
              <w:tc>
                <w:tcPr>
                  <w:tcW w:w="1262" w:type="dxa"/>
                  <w:vMerge w:val="restart"/>
                  <w:tcBorders>
                    <w:top w:val="nil"/>
                    <w:left w:val="single" w:color="auto" w:sz="4" w:space="0"/>
                    <w:bottom w:val="single" w:color="auto" w:sz="4" w:space="0"/>
                    <w:right w:val="single" w:color="auto" w:sz="4" w:space="0"/>
                  </w:tcBorders>
                  <w:vAlign w:val="center"/>
                </w:tcPr>
                <w:p w14:paraId="06CA1CEE">
                  <w:pPr>
                    <w:widowControl/>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μg/m</w:t>
                  </w:r>
                  <w:r>
                    <w:rPr>
                      <w:rFonts w:hint="default" w:ascii="Times New Roman" w:hAnsi="Times New Roman" w:eastAsia="宋体" w:cs="Times New Roman"/>
                      <w:bCs/>
                      <w:color w:val="auto"/>
                      <w:kern w:val="0"/>
                      <w:szCs w:val="21"/>
                      <w:highlight w:val="none"/>
                      <w:vertAlign w:val="superscript"/>
                    </w:rPr>
                    <w:t>3</w:t>
                  </w:r>
                </w:p>
              </w:tc>
              <w:tc>
                <w:tcPr>
                  <w:tcW w:w="1288" w:type="dxa"/>
                  <w:vMerge w:val="restart"/>
                  <w:tcBorders>
                    <w:top w:val="nil"/>
                    <w:left w:val="single" w:color="auto" w:sz="4" w:space="0"/>
                    <w:bottom w:val="single" w:color="auto" w:sz="4" w:space="0"/>
                    <w:right w:val="single" w:color="auto" w:sz="4" w:space="0"/>
                  </w:tcBorders>
                  <w:vAlign w:val="center"/>
                </w:tcPr>
                <w:p w14:paraId="66A1C673">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《环境空气质量标准》（GB3095-2012）</w:t>
                  </w:r>
                  <w:r>
                    <w:rPr>
                      <w:rFonts w:hint="default" w:ascii="Times New Roman" w:hAnsi="Times New Roman" w:eastAsia="宋体" w:cs="Times New Roman"/>
                      <w:color w:val="auto"/>
                      <w:kern w:val="0"/>
                      <w:szCs w:val="21"/>
                      <w:highlight w:val="none"/>
                      <w:lang w:val="en-US" w:eastAsia="zh-CN"/>
                    </w:rPr>
                    <w:t>及其修改单</w:t>
                  </w:r>
                  <w:r>
                    <w:rPr>
                      <w:rFonts w:hint="default" w:ascii="Times New Roman" w:hAnsi="Times New Roman" w:eastAsia="宋体" w:cs="Times New Roman"/>
                      <w:color w:val="auto"/>
                      <w:kern w:val="0"/>
                      <w:szCs w:val="21"/>
                      <w:highlight w:val="none"/>
                    </w:rPr>
                    <w:t>中二级标准</w:t>
                  </w:r>
                </w:p>
              </w:tc>
            </w:tr>
            <w:tr w14:paraId="083DCFE6">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0C2750EE">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4ED0513F">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24小时平均</w:t>
                  </w:r>
                </w:p>
              </w:tc>
              <w:tc>
                <w:tcPr>
                  <w:tcW w:w="1688" w:type="dxa"/>
                  <w:tcBorders>
                    <w:top w:val="nil"/>
                    <w:left w:val="nil"/>
                    <w:bottom w:val="single" w:color="auto" w:sz="4" w:space="0"/>
                    <w:right w:val="single" w:color="auto" w:sz="4" w:space="0"/>
                  </w:tcBorders>
                  <w:vAlign w:val="center"/>
                </w:tcPr>
                <w:p w14:paraId="4FD9BE55">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150</w:t>
                  </w:r>
                </w:p>
              </w:tc>
              <w:tc>
                <w:tcPr>
                  <w:tcW w:w="1262" w:type="dxa"/>
                  <w:vMerge w:val="continue"/>
                  <w:tcBorders>
                    <w:top w:val="nil"/>
                    <w:left w:val="single" w:color="auto" w:sz="4" w:space="0"/>
                    <w:bottom w:val="single" w:color="auto" w:sz="4" w:space="0"/>
                    <w:right w:val="single" w:color="auto" w:sz="4" w:space="0"/>
                  </w:tcBorders>
                  <w:vAlign w:val="center"/>
                </w:tcPr>
                <w:p w14:paraId="35B92F45">
                  <w:pPr>
                    <w:widowControl/>
                    <w:adjustRightInd w:val="0"/>
                    <w:jc w:val="left"/>
                    <w:rPr>
                      <w:rFonts w:hint="default" w:ascii="Times New Roman" w:hAnsi="Times New Roman" w:eastAsia="宋体" w:cs="Times New Roman"/>
                      <w:bCs/>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5FC1EB42">
                  <w:pPr>
                    <w:widowControl/>
                    <w:adjustRightInd w:val="0"/>
                    <w:jc w:val="left"/>
                    <w:rPr>
                      <w:rFonts w:hint="default" w:ascii="Times New Roman" w:hAnsi="Times New Roman" w:eastAsia="宋体" w:cs="Times New Roman"/>
                      <w:color w:val="auto"/>
                      <w:kern w:val="0"/>
                      <w:szCs w:val="21"/>
                      <w:highlight w:val="none"/>
                    </w:rPr>
                  </w:pPr>
                </w:p>
              </w:tc>
            </w:tr>
            <w:tr w14:paraId="5759193D">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08274937">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735E6957">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1小时平均</w:t>
                  </w:r>
                </w:p>
              </w:tc>
              <w:tc>
                <w:tcPr>
                  <w:tcW w:w="1688" w:type="dxa"/>
                  <w:tcBorders>
                    <w:top w:val="nil"/>
                    <w:left w:val="nil"/>
                    <w:bottom w:val="single" w:color="auto" w:sz="4" w:space="0"/>
                    <w:right w:val="single" w:color="auto" w:sz="4" w:space="0"/>
                  </w:tcBorders>
                  <w:vAlign w:val="center"/>
                </w:tcPr>
                <w:p w14:paraId="1C327D86">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500</w:t>
                  </w:r>
                </w:p>
              </w:tc>
              <w:tc>
                <w:tcPr>
                  <w:tcW w:w="1262" w:type="dxa"/>
                  <w:vMerge w:val="continue"/>
                  <w:tcBorders>
                    <w:top w:val="nil"/>
                    <w:left w:val="single" w:color="auto" w:sz="4" w:space="0"/>
                    <w:bottom w:val="single" w:color="auto" w:sz="4" w:space="0"/>
                    <w:right w:val="single" w:color="auto" w:sz="4" w:space="0"/>
                  </w:tcBorders>
                  <w:vAlign w:val="center"/>
                </w:tcPr>
                <w:p w14:paraId="459A48A2">
                  <w:pPr>
                    <w:widowControl/>
                    <w:adjustRightInd w:val="0"/>
                    <w:jc w:val="left"/>
                    <w:rPr>
                      <w:rFonts w:hint="default" w:ascii="Times New Roman" w:hAnsi="Times New Roman" w:eastAsia="宋体" w:cs="Times New Roman"/>
                      <w:bCs/>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1FD21A45">
                  <w:pPr>
                    <w:widowControl/>
                    <w:adjustRightInd w:val="0"/>
                    <w:jc w:val="left"/>
                    <w:rPr>
                      <w:rFonts w:hint="default" w:ascii="Times New Roman" w:hAnsi="Times New Roman" w:eastAsia="宋体" w:cs="Times New Roman"/>
                      <w:color w:val="auto"/>
                      <w:kern w:val="0"/>
                      <w:szCs w:val="21"/>
                      <w:highlight w:val="none"/>
                    </w:rPr>
                  </w:pPr>
                </w:p>
              </w:tc>
            </w:tr>
            <w:tr w14:paraId="6AA56FA1">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01467A96">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NO</w:t>
                  </w:r>
                  <w:r>
                    <w:rPr>
                      <w:rFonts w:hint="default" w:ascii="Times New Roman" w:hAnsi="Times New Roman" w:eastAsia="宋体" w:cs="Times New Roman"/>
                      <w:color w:val="auto"/>
                      <w:kern w:val="0"/>
                      <w:szCs w:val="21"/>
                      <w:highlight w:val="none"/>
                      <w:vertAlign w:val="subscript"/>
                    </w:rPr>
                    <w:t>2</w:t>
                  </w:r>
                </w:p>
              </w:tc>
              <w:tc>
                <w:tcPr>
                  <w:tcW w:w="2468" w:type="dxa"/>
                  <w:tcBorders>
                    <w:top w:val="nil"/>
                    <w:left w:val="nil"/>
                    <w:bottom w:val="single" w:color="auto" w:sz="4" w:space="0"/>
                    <w:right w:val="single" w:color="auto" w:sz="4" w:space="0"/>
                  </w:tcBorders>
                  <w:vAlign w:val="center"/>
                </w:tcPr>
                <w:p w14:paraId="7584BB94">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w:t>
                  </w:r>
                </w:p>
              </w:tc>
              <w:tc>
                <w:tcPr>
                  <w:tcW w:w="1688" w:type="dxa"/>
                  <w:tcBorders>
                    <w:top w:val="nil"/>
                    <w:left w:val="nil"/>
                    <w:bottom w:val="single" w:color="auto" w:sz="4" w:space="0"/>
                    <w:right w:val="single" w:color="auto" w:sz="4" w:space="0"/>
                  </w:tcBorders>
                  <w:vAlign w:val="center"/>
                </w:tcPr>
                <w:p w14:paraId="44206DA3">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40</w:t>
                  </w:r>
                </w:p>
              </w:tc>
              <w:tc>
                <w:tcPr>
                  <w:tcW w:w="1262" w:type="dxa"/>
                  <w:vMerge w:val="continue"/>
                  <w:tcBorders>
                    <w:top w:val="nil"/>
                    <w:left w:val="single" w:color="auto" w:sz="4" w:space="0"/>
                    <w:bottom w:val="single" w:color="auto" w:sz="4" w:space="0"/>
                    <w:right w:val="single" w:color="auto" w:sz="4" w:space="0"/>
                  </w:tcBorders>
                  <w:vAlign w:val="center"/>
                </w:tcPr>
                <w:p w14:paraId="748AB1D9">
                  <w:pPr>
                    <w:widowControl/>
                    <w:adjustRightInd w:val="0"/>
                    <w:jc w:val="left"/>
                    <w:rPr>
                      <w:rFonts w:hint="default" w:ascii="Times New Roman" w:hAnsi="Times New Roman" w:eastAsia="宋体" w:cs="Times New Roman"/>
                      <w:bCs/>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2CB8C356">
                  <w:pPr>
                    <w:widowControl/>
                    <w:adjustRightInd w:val="0"/>
                    <w:jc w:val="left"/>
                    <w:rPr>
                      <w:rFonts w:hint="default" w:ascii="Times New Roman" w:hAnsi="Times New Roman" w:eastAsia="宋体" w:cs="Times New Roman"/>
                      <w:color w:val="auto"/>
                      <w:kern w:val="0"/>
                      <w:szCs w:val="21"/>
                      <w:highlight w:val="none"/>
                    </w:rPr>
                  </w:pPr>
                </w:p>
              </w:tc>
            </w:tr>
            <w:tr w14:paraId="2E6E482D">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165F4BCE">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4D160D50">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24小时平均</w:t>
                  </w:r>
                </w:p>
              </w:tc>
              <w:tc>
                <w:tcPr>
                  <w:tcW w:w="1688" w:type="dxa"/>
                  <w:tcBorders>
                    <w:top w:val="nil"/>
                    <w:left w:val="nil"/>
                    <w:bottom w:val="single" w:color="auto" w:sz="4" w:space="0"/>
                    <w:right w:val="single" w:color="auto" w:sz="4" w:space="0"/>
                  </w:tcBorders>
                  <w:vAlign w:val="center"/>
                </w:tcPr>
                <w:p w14:paraId="5DB89A69">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80</w:t>
                  </w:r>
                </w:p>
              </w:tc>
              <w:tc>
                <w:tcPr>
                  <w:tcW w:w="1262" w:type="dxa"/>
                  <w:vMerge w:val="continue"/>
                  <w:tcBorders>
                    <w:top w:val="nil"/>
                    <w:left w:val="single" w:color="auto" w:sz="4" w:space="0"/>
                    <w:bottom w:val="single" w:color="auto" w:sz="4" w:space="0"/>
                    <w:right w:val="single" w:color="auto" w:sz="4" w:space="0"/>
                  </w:tcBorders>
                  <w:vAlign w:val="center"/>
                </w:tcPr>
                <w:p w14:paraId="60731F3F">
                  <w:pPr>
                    <w:widowControl/>
                    <w:adjustRightInd w:val="0"/>
                    <w:jc w:val="left"/>
                    <w:rPr>
                      <w:rFonts w:hint="default" w:ascii="Times New Roman" w:hAnsi="Times New Roman" w:eastAsia="宋体" w:cs="Times New Roman"/>
                      <w:bCs/>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1D969E9F">
                  <w:pPr>
                    <w:widowControl/>
                    <w:adjustRightInd w:val="0"/>
                    <w:jc w:val="left"/>
                    <w:rPr>
                      <w:rFonts w:hint="default" w:ascii="Times New Roman" w:hAnsi="Times New Roman" w:eastAsia="宋体" w:cs="Times New Roman"/>
                      <w:color w:val="auto"/>
                      <w:kern w:val="0"/>
                      <w:szCs w:val="21"/>
                      <w:highlight w:val="none"/>
                    </w:rPr>
                  </w:pPr>
                </w:p>
              </w:tc>
            </w:tr>
            <w:tr w14:paraId="40ED486C">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4C5741EA">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1A94F33D">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1小时平均</w:t>
                  </w:r>
                </w:p>
              </w:tc>
              <w:tc>
                <w:tcPr>
                  <w:tcW w:w="1688" w:type="dxa"/>
                  <w:tcBorders>
                    <w:top w:val="nil"/>
                    <w:left w:val="nil"/>
                    <w:bottom w:val="single" w:color="auto" w:sz="4" w:space="0"/>
                    <w:right w:val="single" w:color="auto" w:sz="4" w:space="0"/>
                  </w:tcBorders>
                  <w:vAlign w:val="center"/>
                </w:tcPr>
                <w:p w14:paraId="5FE13D3B">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200</w:t>
                  </w:r>
                </w:p>
              </w:tc>
              <w:tc>
                <w:tcPr>
                  <w:tcW w:w="1262" w:type="dxa"/>
                  <w:vMerge w:val="continue"/>
                  <w:tcBorders>
                    <w:top w:val="nil"/>
                    <w:left w:val="single" w:color="auto" w:sz="4" w:space="0"/>
                    <w:bottom w:val="single" w:color="auto" w:sz="4" w:space="0"/>
                    <w:right w:val="single" w:color="auto" w:sz="4" w:space="0"/>
                  </w:tcBorders>
                  <w:vAlign w:val="center"/>
                </w:tcPr>
                <w:p w14:paraId="745DF497">
                  <w:pPr>
                    <w:widowControl/>
                    <w:adjustRightInd w:val="0"/>
                    <w:jc w:val="left"/>
                    <w:rPr>
                      <w:rFonts w:hint="default" w:ascii="Times New Roman" w:hAnsi="Times New Roman" w:eastAsia="宋体" w:cs="Times New Roman"/>
                      <w:bCs/>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5F3E07B4">
                  <w:pPr>
                    <w:widowControl/>
                    <w:adjustRightInd w:val="0"/>
                    <w:jc w:val="left"/>
                    <w:rPr>
                      <w:rFonts w:hint="default" w:ascii="Times New Roman" w:hAnsi="Times New Roman" w:eastAsia="宋体" w:cs="Times New Roman"/>
                      <w:color w:val="auto"/>
                      <w:kern w:val="0"/>
                      <w:szCs w:val="21"/>
                      <w:highlight w:val="none"/>
                    </w:rPr>
                  </w:pPr>
                </w:p>
              </w:tc>
            </w:tr>
            <w:tr w14:paraId="42CB160E">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4C6DDE57">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w:t>
                  </w:r>
                </w:p>
              </w:tc>
              <w:tc>
                <w:tcPr>
                  <w:tcW w:w="2468" w:type="dxa"/>
                  <w:tcBorders>
                    <w:top w:val="nil"/>
                    <w:left w:val="nil"/>
                    <w:bottom w:val="single" w:color="auto" w:sz="4" w:space="0"/>
                    <w:right w:val="single" w:color="auto" w:sz="4" w:space="0"/>
                  </w:tcBorders>
                  <w:vAlign w:val="center"/>
                </w:tcPr>
                <w:p w14:paraId="08EF6523">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24小时平均</w:t>
                  </w:r>
                </w:p>
              </w:tc>
              <w:tc>
                <w:tcPr>
                  <w:tcW w:w="1688" w:type="dxa"/>
                  <w:tcBorders>
                    <w:top w:val="nil"/>
                    <w:left w:val="nil"/>
                    <w:bottom w:val="single" w:color="auto" w:sz="4" w:space="0"/>
                    <w:right w:val="single" w:color="auto" w:sz="4" w:space="0"/>
                  </w:tcBorders>
                  <w:vAlign w:val="center"/>
                </w:tcPr>
                <w:p w14:paraId="5906C508">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262" w:type="dxa"/>
                  <w:vMerge w:val="restart"/>
                  <w:tcBorders>
                    <w:top w:val="nil"/>
                    <w:left w:val="single" w:color="auto" w:sz="4" w:space="0"/>
                    <w:bottom w:val="single" w:color="auto" w:sz="4" w:space="0"/>
                    <w:right w:val="single" w:color="auto" w:sz="4" w:space="0"/>
                  </w:tcBorders>
                  <w:vAlign w:val="center"/>
                </w:tcPr>
                <w:p w14:paraId="7ED01F1C">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mg/m</w:t>
                  </w:r>
                  <w:r>
                    <w:rPr>
                      <w:rFonts w:hint="default" w:ascii="Times New Roman" w:hAnsi="Times New Roman" w:eastAsia="宋体" w:cs="Times New Roman"/>
                      <w:color w:val="auto"/>
                      <w:kern w:val="0"/>
                      <w:szCs w:val="21"/>
                      <w:highlight w:val="none"/>
                      <w:vertAlign w:val="superscript"/>
                    </w:rPr>
                    <w:t>3</w:t>
                  </w:r>
                </w:p>
              </w:tc>
              <w:tc>
                <w:tcPr>
                  <w:tcW w:w="1288" w:type="dxa"/>
                  <w:vMerge w:val="continue"/>
                  <w:tcBorders>
                    <w:top w:val="nil"/>
                    <w:left w:val="single" w:color="auto" w:sz="4" w:space="0"/>
                    <w:bottom w:val="single" w:color="auto" w:sz="4" w:space="0"/>
                    <w:right w:val="single" w:color="auto" w:sz="4" w:space="0"/>
                  </w:tcBorders>
                  <w:vAlign w:val="center"/>
                </w:tcPr>
                <w:p w14:paraId="49CD1AB6">
                  <w:pPr>
                    <w:widowControl/>
                    <w:adjustRightInd w:val="0"/>
                    <w:jc w:val="left"/>
                    <w:rPr>
                      <w:rFonts w:hint="default" w:ascii="Times New Roman" w:hAnsi="Times New Roman" w:eastAsia="宋体" w:cs="Times New Roman"/>
                      <w:color w:val="auto"/>
                      <w:kern w:val="0"/>
                      <w:szCs w:val="21"/>
                      <w:highlight w:val="none"/>
                    </w:rPr>
                  </w:pPr>
                </w:p>
              </w:tc>
            </w:tr>
            <w:tr w14:paraId="19E535D7">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288466F7">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1FC2F2A5">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1小时平均</w:t>
                  </w:r>
                </w:p>
              </w:tc>
              <w:tc>
                <w:tcPr>
                  <w:tcW w:w="1688" w:type="dxa"/>
                  <w:tcBorders>
                    <w:top w:val="nil"/>
                    <w:left w:val="nil"/>
                    <w:bottom w:val="single" w:color="auto" w:sz="4" w:space="0"/>
                    <w:right w:val="single" w:color="auto" w:sz="4" w:space="0"/>
                  </w:tcBorders>
                  <w:vAlign w:val="center"/>
                </w:tcPr>
                <w:p w14:paraId="023A3AD6">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262" w:type="dxa"/>
                  <w:vMerge w:val="continue"/>
                  <w:tcBorders>
                    <w:top w:val="nil"/>
                    <w:left w:val="single" w:color="auto" w:sz="4" w:space="0"/>
                    <w:bottom w:val="single" w:color="auto" w:sz="4" w:space="0"/>
                    <w:right w:val="single" w:color="auto" w:sz="4" w:space="0"/>
                  </w:tcBorders>
                  <w:vAlign w:val="center"/>
                </w:tcPr>
                <w:p w14:paraId="56178BF3">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44D9C53F">
                  <w:pPr>
                    <w:widowControl/>
                    <w:adjustRightInd w:val="0"/>
                    <w:jc w:val="left"/>
                    <w:rPr>
                      <w:rFonts w:hint="default" w:ascii="Times New Roman" w:hAnsi="Times New Roman" w:eastAsia="宋体" w:cs="Times New Roman"/>
                      <w:color w:val="auto"/>
                      <w:kern w:val="0"/>
                      <w:szCs w:val="21"/>
                      <w:highlight w:val="none"/>
                    </w:rPr>
                  </w:pPr>
                </w:p>
              </w:tc>
            </w:tr>
            <w:tr w14:paraId="7D7C9D1A">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55802117">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O</w:t>
                  </w:r>
                  <w:r>
                    <w:rPr>
                      <w:rFonts w:hint="default" w:ascii="Times New Roman" w:hAnsi="Times New Roman" w:eastAsia="宋体" w:cs="Times New Roman"/>
                      <w:color w:val="auto"/>
                      <w:kern w:val="0"/>
                      <w:szCs w:val="21"/>
                      <w:highlight w:val="none"/>
                      <w:vertAlign w:val="subscript"/>
                    </w:rPr>
                    <w:t>3</w:t>
                  </w:r>
                </w:p>
              </w:tc>
              <w:tc>
                <w:tcPr>
                  <w:tcW w:w="2468" w:type="dxa"/>
                  <w:tcBorders>
                    <w:top w:val="nil"/>
                    <w:left w:val="nil"/>
                    <w:bottom w:val="single" w:color="auto" w:sz="4" w:space="0"/>
                    <w:right w:val="single" w:color="auto" w:sz="4" w:space="0"/>
                  </w:tcBorders>
                  <w:vAlign w:val="center"/>
                </w:tcPr>
                <w:p w14:paraId="4BF3A8EE">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日最大8小时平均</w:t>
                  </w:r>
                </w:p>
              </w:tc>
              <w:tc>
                <w:tcPr>
                  <w:tcW w:w="1688" w:type="dxa"/>
                  <w:tcBorders>
                    <w:top w:val="nil"/>
                    <w:left w:val="nil"/>
                    <w:bottom w:val="single" w:color="auto" w:sz="4" w:space="0"/>
                    <w:right w:val="single" w:color="auto" w:sz="4" w:space="0"/>
                  </w:tcBorders>
                  <w:vAlign w:val="center"/>
                </w:tcPr>
                <w:p w14:paraId="2E8905EE">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160</w:t>
                  </w:r>
                </w:p>
              </w:tc>
              <w:tc>
                <w:tcPr>
                  <w:tcW w:w="1262" w:type="dxa"/>
                  <w:vMerge w:val="restart"/>
                  <w:tcBorders>
                    <w:top w:val="nil"/>
                    <w:left w:val="single" w:color="auto" w:sz="4" w:space="0"/>
                    <w:bottom w:val="single" w:color="auto" w:sz="4" w:space="0"/>
                    <w:right w:val="single" w:color="auto" w:sz="4" w:space="0"/>
                  </w:tcBorders>
                  <w:vAlign w:val="center"/>
                </w:tcPr>
                <w:p w14:paraId="04E5AAE3">
                  <w:pPr>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kern w:val="0"/>
                      <w:szCs w:val="21"/>
                      <w:highlight w:val="none"/>
                    </w:rPr>
                    <w:t>μg/m</w:t>
                  </w:r>
                  <w:r>
                    <w:rPr>
                      <w:rFonts w:hint="default" w:ascii="Times New Roman" w:hAnsi="Times New Roman" w:eastAsia="宋体" w:cs="Times New Roman"/>
                      <w:bCs/>
                      <w:color w:val="auto"/>
                      <w:kern w:val="0"/>
                      <w:szCs w:val="21"/>
                      <w:highlight w:val="none"/>
                      <w:vertAlign w:val="superscript"/>
                    </w:rPr>
                    <w:t>3</w:t>
                  </w:r>
                </w:p>
              </w:tc>
              <w:tc>
                <w:tcPr>
                  <w:tcW w:w="1288" w:type="dxa"/>
                  <w:vMerge w:val="continue"/>
                  <w:tcBorders>
                    <w:top w:val="nil"/>
                    <w:left w:val="single" w:color="auto" w:sz="4" w:space="0"/>
                    <w:bottom w:val="single" w:color="auto" w:sz="4" w:space="0"/>
                    <w:right w:val="single" w:color="auto" w:sz="4" w:space="0"/>
                  </w:tcBorders>
                  <w:vAlign w:val="center"/>
                </w:tcPr>
                <w:p w14:paraId="01ECE146">
                  <w:pPr>
                    <w:widowControl/>
                    <w:adjustRightInd w:val="0"/>
                    <w:jc w:val="left"/>
                    <w:rPr>
                      <w:rFonts w:hint="default" w:ascii="Times New Roman" w:hAnsi="Times New Roman" w:eastAsia="宋体" w:cs="Times New Roman"/>
                      <w:color w:val="auto"/>
                      <w:kern w:val="0"/>
                      <w:szCs w:val="21"/>
                      <w:highlight w:val="none"/>
                    </w:rPr>
                  </w:pPr>
                </w:p>
              </w:tc>
            </w:tr>
            <w:tr w14:paraId="54E6E836">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6856AC63">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06F07609">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1小时平均</w:t>
                  </w:r>
                </w:p>
              </w:tc>
              <w:tc>
                <w:tcPr>
                  <w:tcW w:w="1688" w:type="dxa"/>
                  <w:tcBorders>
                    <w:top w:val="nil"/>
                    <w:left w:val="nil"/>
                    <w:bottom w:val="single" w:color="auto" w:sz="4" w:space="0"/>
                    <w:right w:val="single" w:color="auto" w:sz="4" w:space="0"/>
                  </w:tcBorders>
                  <w:vAlign w:val="center"/>
                </w:tcPr>
                <w:p w14:paraId="06AF9F18">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200</w:t>
                  </w:r>
                </w:p>
              </w:tc>
              <w:tc>
                <w:tcPr>
                  <w:tcW w:w="1262" w:type="dxa"/>
                  <w:vMerge w:val="continue"/>
                  <w:tcBorders>
                    <w:top w:val="nil"/>
                    <w:left w:val="single" w:color="auto" w:sz="4" w:space="0"/>
                    <w:bottom w:val="single" w:color="auto" w:sz="4" w:space="0"/>
                    <w:right w:val="single" w:color="auto" w:sz="4" w:space="0"/>
                  </w:tcBorders>
                  <w:vAlign w:val="center"/>
                </w:tcPr>
                <w:p w14:paraId="4345EE38">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0F29D8FA">
                  <w:pPr>
                    <w:widowControl/>
                    <w:adjustRightInd w:val="0"/>
                    <w:jc w:val="left"/>
                    <w:rPr>
                      <w:rFonts w:hint="default" w:ascii="Times New Roman" w:hAnsi="Times New Roman" w:eastAsia="宋体" w:cs="Times New Roman"/>
                      <w:color w:val="auto"/>
                      <w:kern w:val="0"/>
                      <w:szCs w:val="21"/>
                      <w:highlight w:val="none"/>
                    </w:rPr>
                  </w:pPr>
                </w:p>
              </w:tc>
            </w:tr>
            <w:tr w14:paraId="5A29FA69">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1CDE5BBD">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TSP</w:t>
                  </w:r>
                </w:p>
              </w:tc>
              <w:tc>
                <w:tcPr>
                  <w:tcW w:w="2468" w:type="dxa"/>
                  <w:tcBorders>
                    <w:top w:val="nil"/>
                    <w:left w:val="nil"/>
                    <w:bottom w:val="single" w:color="auto" w:sz="4" w:space="0"/>
                    <w:right w:val="single" w:color="auto" w:sz="4" w:space="0"/>
                  </w:tcBorders>
                  <w:vAlign w:val="center"/>
                </w:tcPr>
                <w:p w14:paraId="1EC7910F">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w:t>
                  </w:r>
                </w:p>
              </w:tc>
              <w:tc>
                <w:tcPr>
                  <w:tcW w:w="1688" w:type="dxa"/>
                  <w:tcBorders>
                    <w:top w:val="nil"/>
                    <w:left w:val="nil"/>
                    <w:bottom w:val="single" w:color="auto" w:sz="4" w:space="0"/>
                    <w:right w:val="single" w:color="auto" w:sz="4" w:space="0"/>
                  </w:tcBorders>
                  <w:vAlign w:val="center"/>
                </w:tcPr>
                <w:p w14:paraId="3319950B">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200</w:t>
                  </w:r>
                </w:p>
              </w:tc>
              <w:tc>
                <w:tcPr>
                  <w:tcW w:w="1262" w:type="dxa"/>
                  <w:vMerge w:val="continue"/>
                  <w:tcBorders>
                    <w:top w:val="nil"/>
                    <w:left w:val="single" w:color="auto" w:sz="4" w:space="0"/>
                    <w:bottom w:val="single" w:color="auto" w:sz="4" w:space="0"/>
                    <w:right w:val="single" w:color="auto" w:sz="4" w:space="0"/>
                  </w:tcBorders>
                  <w:vAlign w:val="center"/>
                </w:tcPr>
                <w:p w14:paraId="353ED030">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56FCCBC3">
                  <w:pPr>
                    <w:widowControl/>
                    <w:adjustRightInd w:val="0"/>
                    <w:jc w:val="left"/>
                    <w:rPr>
                      <w:rFonts w:hint="default" w:ascii="Times New Roman" w:hAnsi="Times New Roman" w:eastAsia="宋体" w:cs="Times New Roman"/>
                      <w:color w:val="auto"/>
                      <w:kern w:val="0"/>
                      <w:szCs w:val="21"/>
                      <w:highlight w:val="none"/>
                    </w:rPr>
                  </w:pPr>
                </w:p>
              </w:tc>
            </w:tr>
            <w:tr w14:paraId="6ED1B6C3">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176E5151">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377C2EFB">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24小时平均</w:t>
                  </w:r>
                </w:p>
              </w:tc>
              <w:tc>
                <w:tcPr>
                  <w:tcW w:w="1688" w:type="dxa"/>
                  <w:tcBorders>
                    <w:top w:val="nil"/>
                    <w:left w:val="nil"/>
                    <w:bottom w:val="single" w:color="auto" w:sz="4" w:space="0"/>
                    <w:right w:val="single" w:color="auto" w:sz="4" w:space="0"/>
                  </w:tcBorders>
                  <w:vAlign w:val="center"/>
                </w:tcPr>
                <w:p w14:paraId="229A79EE">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300</w:t>
                  </w:r>
                </w:p>
              </w:tc>
              <w:tc>
                <w:tcPr>
                  <w:tcW w:w="1262" w:type="dxa"/>
                  <w:vMerge w:val="continue"/>
                  <w:tcBorders>
                    <w:top w:val="nil"/>
                    <w:left w:val="single" w:color="auto" w:sz="4" w:space="0"/>
                    <w:bottom w:val="single" w:color="auto" w:sz="4" w:space="0"/>
                    <w:right w:val="single" w:color="auto" w:sz="4" w:space="0"/>
                  </w:tcBorders>
                  <w:vAlign w:val="center"/>
                </w:tcPr>
                <w:p w14:paraId="6CD74332">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0CE01CF9">
                  <w:pPr>
                    <w:widowControl/>
                    <w:adjustRightInd w:val="0"/>
                    <w:jc w:val="left"/>
                    <w:rPr>
                      <w:rFonts w:hint="default" w:ascii="Times New Roman" w:hAnsi="Times New Roman" w:eastAsia="宋体" w:cs="Times New Roman"/>
                      <w:color w:val="auto"/>
                      <w:kern w:val="0"/>
                      <w:szCs w:val="21"/>
                      <w:highlight w:val="none"/>
                    </w:rPr>
                  </w:pPr>
                </w:p>
              </w:tc>
            </w:tr>
            <w:tr w14:paraId="7DFD213E">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1D3837BB">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PM</w:t>
                  </w:r>
                  <w:r>
                    <w:rPr>
                      <w:rFonts w:hint="default" w:ascii="Times New Roman" w:hAnsi="Times New Roman" w:eastAsia="宋体" w:cs="Times New Roman"/>
                      <w:color w:val="auto"/>
                      <w:kern w:val="0"/>
                      <w:szCs w:val="21"/>
                      <w:highlight w:val="none"/>
                      <w:vertAlign w:val="subscript"/>
                    </w:rPr>
                    <w:t>2.5</w:t>
                  </w:r>
                </w:p>
              </w:tc>
              <w:tc>
                <w:tcPr>
                  <w:tcW w:w="2468" w:type="dxa"/>
                  <w:tcBorders>
                    <w:top w:val="nil"/>
                    <w:left w:val="nil"/>
                    <w:bottom w:val="single" w:color="auto" w:sz="4" w:space="0"/>
                    <w:right w:val="single" w:color="auto" w:sz="4" w:space="0"/>
                  </w:tcBorders>
                  <w:vAlign w:val="center"/>
                </w:tcPr>
                <w:p w14:paraId="5D19B654">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w:t>
                  </w:r>
                </w:p>
              </w:tc>
              <w:tc>
                <w:tcPr>
                  <w:tcW w:w="1688" w:type="dxa"/>
                  <w:tcBorders>
                    <w:top w:val="nil"/>
                    <w:left w:val="nil"/>
                    <w:bottom w:val="single" w:color="auto" w:sz="4" w:space="0"/>
                    <w:right w:val="single" w:color="auto" w:sz="4" w:space="0"/>
                  </w:tcBorders>
                  <w:vAlign w:val="center"/>
                </w:tcPr>
                <w:p w14:paraId="0DF09542">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35</w:t>
                  </w:r>
                </w:p>
              </w:tc>
              <w:tc>
                <w:tcPr>
                  <w:tcW w:w="1262" w:type="dxa"/>
                  <w:vMerge w:val="continue"/>
                  <w:tcBorders>
                    <w:top w:val="nil"/>
                    <w:left w:val="single" w:color="auto" w:sz="4" w:space="0"/>
                    <w:bottom w:val="single" w:color="auto" w:sz="4" w:space="0"/>
                    <w:right w:val="single" w:color="auto" w:sz="4" w:space="0"/>
                  </w:tcBorders>
                  <w:vAlign w:val="center"/>
                </w:tcPr>
                <w:p w14:paraId="4C77EE95">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5C7DF6D0">
                  <w:pPr>
                    <w:widowControl/>
                    <w:adjustRightInd w:val="0"/>
                    <w:jc w:val="left"/>
                    <w:rPr>
                      <w:rFonts w:hint="default" w:ascii="Times New Roman" w:hAnsi="Times New Roman" w:eastAsia="宋体" w:cs="Times New Roman"/>
                      <w:color w:val="auto"/>
                      <w:kern w:val="0"/>
                      <w:szCs w:val="21"/>
                      <w:highlight w:val="none"/>
                    </w:rPr>
                  </w:pPr>
                </w:p>
              </w:tc>
            </w:tr>
            <w:tr w14:paraId="2B1F8AA0">
              <w:tblPrEx>
                <w:tblCellMar>
                  <w:top w:w="0" w:type="dxa"/>
                  <w:left w:w="108" w:type="dxa"/>
                  <w:bottom w:w="0" w:type="dxa"/>
                  <w:right w:w="108" w:type="dxa"/>
                </w:tblCellMar>
              </w:tblPrEx>
              <w:trPr>
                <w:trHeight w:val="40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6942CA2F">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64B92E46">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24小时平均</w:t>
                  </w:r>
                </w:p>
              </w:tc>
              <w:tc>
                <w:tcPr>
                  <w:tcW w:w="1688" w:type="dxa"/>
                  <w:tcBorders>
                    <w:top w:val="nil"/>
                    <w:left w:val="nil"/>
                    <w:bottom w:val="single" w:color="auto" w:sz="4" w:space="0"/>
                    <w:right w:val="single" w:color="auto" w:sz="4" w:space="0"/>
                  </w:tcBorders>
                  <w:vAlign w:val="center"/>
                </w:tcPr>
                <w:p w14:paraId="256C5425">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75</w:t>
                  </w:r>
                </w:p>
              </w:tc>
              <w:tc>
                <w:tcPr>
                  <w:tcW w:w="1262" w:type="dxa"/>
                  <w:vMerge w:val="continue"/>
                  <w:tcBorders>
                    <w:top w:val="nil"/>
                    <w:left w:val="single" w:color="auto" w:sz="4" w:space="0"/>
                    <w:bottom w:val="single" w:color="auto" w:sz="4" w:space="0"/>
                    <w:right w:val="single" w:color="auto" w:sz="4" w:space="0"/>
                  </w:tcBorders>
                  <w:vAlign w:val="center"/>
                </w:tcPr>
                <w:p w14:paraId="2C966AA1">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721027B7">
                  <w:pPr>
                    <w:widowControl/>
                    <w:adjustRightInd w:val="0"/>
                    <w:jc w:val="left"/>
                    <w:rPr>
                      <w:rFonts w:hint="default" w:ascii="Times New Roman" w:hAnsi="Times New Roman" w:eastAsia="宋体" w:cs="Times New Roman"/>
                      <w:color w:val="auto"/>
                      <w:kern w:val="0"/>
                      <w:szCs w:val="21"/>
                      <w:highlight w:val="none"/>
                    </w:rPr>
                  </w:pPr>
                </w:p>
              </w:tc>
            </w:tr>
            <w:tr w14:paraId="69488993">
              <w:tblPrEx>
                <w:tblCellMar>
                  <w:top w:w="0" w:type="dxa"/>
                  <w:left w:w="108" w:type="dxa"/>
                  <w:bottom w:w="0" w:type="dxa"/>
                  <w:right w:w="108" w:type="dxa"/>
                </w:tblCellMar>
              </w:tblPrEx>
              <w:trPr>
                <w:trHeight w:val="403" w:hRule="atLeast"/>
                <w:jc w:val="center"/>
              </w:trPr>
              <w:tc>
                <w:tcPr>
                  <w:tcW w:w="1311" w:type="dxa"/>
                  <w:vMerge w:val="restart"/>
                  <w:tcBorders>
                    <w:top w:val="nil"/>
                    <w:left w:val="single" w:color="auto" w:sz="4" w:space="0"/>
                    <w:bottom w:val="single" w:color="auto" w:sz="4" w:space="0"/>
                    <w:right w:val="single" w:color="auto" w:sz="4" w:space="0"/>
                  </w:tcBorders>
                  <w:vAlign w:val="center"/>
                </w:tcPr>
                <w:p w14:paraId="3A3D7B23">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PM</w:t>
                  </w:r>
                  <w:r>
                    <w:rPr>
                      <w:rFonts w:hint="default" w:ascii="Times New Roman" w:hAnsi="Times New Roman" w:eastAsia="宋体" w:cs="Times New Roman"/>
                      <w:color w:val="auto"/>
                      <w:kern w:val="0"/>
                      <w:szCs w:val="21"/>
                      <w:highlight w:val="none"/>
                      <w:vertAlign w:val="subscript"/>
                    </w:rPr>
                    <w:t>10</w:t>
                  </w:r>
                </w:p>
              </w:tc>
              <w:tc>
                <w:tcPr>
                  <w:tcW w:w="2468" w:type="dxa"/>
                  <w:tcBorders>
                    <w:top w:val="nil"/>
                    <w:left w:val="nil"/>
                    <w:bottom w:val="single" w:color="auto" w:sz="4" w:space="0"/>
                    <w:right w:val="single" w:color="auto" w:sz="4" w:space="0"/>
                  </w:tcBorders>
                  <w:vAlign w:val="center"/>
                </w:tcPr>
                <w:p w14:paraId="71B6A4B8">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w:t>
                  </w:r>
                </w:p>
              </w:tc>
              <w:tc>
                <w:tcPr>
                  <w:tcW w:w="1688" w:type="dxa"/>
                  <w:tcBorders>
                    <w:top w:val="nil"/>
                    <w:left w:val="nil"/>
                    <w:bottom w:val="single" w:color="auto" w:sz="4" w:space="0"/>
                    <w:right w:val="single" w:color="auto" w:sz="4" w:space="0"/>
                  </w:tcBorders>
                  <w:vAlign w:val="center"/>
                </w:tcPr>
                <w:p w14:paraId="4282E7C1">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70</w:t>
                  </w:r>
                </w:p>
              </w:tc>
              <w:tc>
                <w:tcPr>
                  <w:tcW w:w="1262" w:type="dxa"/>
                  <w:vMerge w:val="continue"/>
                  <w:tcBorders>
                    <w:top w:val="nil"/>
                    <w:left w:val="single" w:color="auto" w:sz="4" w:space="0"/>
                    <w:bottom w:val="single" w:color="auto" w:sz="4" w:space="0"/>
                    <w:right w:val="single" w:color="auto" w:sz="4" w:space="0"/>
                  </w:tcBorders>
                  <w:vAlign w:val="center"/>
                </w:tcPr>
                <w:p w14:paraId="348C7618">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4B647073">
                  <w:pPr>
                    <w:widowControl/>
                    <w:adjustRightInd w:val="0"/>
                    <w:jc w:val="left"/>
                    <w:rPr>
                      <w:rFonts w:hint="default" w:ascii="Times New Roman" w:hAnsi="Times New Roman" w:eastAsia="宋体" w:cs="Times New Roman"/>
                      <w:color w:val="auto"/>
                      <w:kern w:val="0"/>
                      <w:szCs w:val="21"/>
                      <w:highlight w:val="none"/>
                    </w:rPr>
                  </w:pPr>
                </w:p>
              </w:tc>
            </w:tr>
            <w:tr w14:paraId="1C70C263">
              <w:tblPrEx>
                <w:tblCellMar>
                  <w:top w:w="0" w:type="dxa"/>
                  <w:left w:w="108" w:type="dxa"/>
                  <w:bottom w:w="0" w:type="dxa"/>
                  <w:right w:w="108" w:type="dxa"/>
                </w:tblCellMar>
              </w:tblPrEx>
              <w:trPr>
                <w:trHeight w:val="443" w:hRule="atLeast"/>
                <w:jc w:val="center"/>
              </w:trPr>
              <w:tc>
                <w:tcPr>
                  <w:tcW w:w="1311" w:type="dxa"/>
                  <w:vMerge w:val="continue"/>
                  <w:tcBorders>
                    <w:top w:val="nil"/>
                    <w:left w:val="single" w:color="auto" w:sz="4" w:space="0"/>
                    <w:bottom w:val="single" w:color="auto" w:sz="4" w:space="0"/>
                    <w:right w:val="single" w:color="auto" w:sz="4" w:space="0"/>
                  </w:tcBorders>
                  <w:vAlign w:val="center"/>
                </w:tcPr>
                <w:p w14:paraId="294A1C88">
                  <w:pPr>
                    <w:widowControl/>
                    <w:adjustRightInd w:val="0"/>
                    <w:jc w:val="left"/>
                    <w:rPr>
                      <w:rFonts w:hint="default" w:ascii="Times New Roman" w:hAnsi="Times New Roman" w:eastAsia="宋体" w:cs="Times New Roman"/>
                      <w:color w:val="auto"/>
                      <w:kern w:val="0"/>
                      <w:szCs w:val="21"/>
                      <w:highlight w:val="none"/>
                    </w:rPr>
                  </w:pPr>
                </w:p>
              </w:tc>
              <w:tc>
                <w:tcPr>
                  <w:tcW w:w="2468" w:type="dxa"/>
                  <w:tcBorders>
                    <w:top w:val="nil"/>
                    <w:left w:val="nil"/>
                    <w:bottom w:val="single" w:color="auto" w:sz="4" w:space="0"/>
                    <w:right w:val="single" w:color="auto" w:sz="4" w:space="0"/>
                  </w:tcBorders>
                  <w:vAlign w:val="center"/>
                </w:tcPr>
                <w:p w14:paraId="5AC1311B">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24小时平均</w:t>
                  </w:r>
                </w:p>
              </w:tc>
              <w:tc>
                <w:tcPr>
                  <w:tcW w:w="1688" w:type="dxa"/>
                  <w:tcBorders>
                    <w:top w:val="nil"/>
                    <w:left w:val="nil"/>
                    <w:bottom w:val="single" w:color="auto" w:sz="4" w:space="0"/>
                    <w:right w:val="single" w:color="auto" w:sz="4" w:space="0"/>
                  </w:tcBorders>
                  <w:vAlign w:val="center"/>
                </w:tcPr>
                <w:p w14:paraId="5C9A0000">
                  <w:pPr>
                    <w:widowControl/>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150</w:t>
                  </w:r>
                </w:p>
              </w:tc>
              <w:tc>
                <w:tcPr>
                  <w:tcW w:w="1262" w:type="dxa"/>
                  <w:vMerge w:val="continue"/>
                  <w:tcBorders>
                    <w:top w:val="nil"/>
                    <w:left w:val="single" w:color="auto" w:sz="4" w:space="0"/>
                    <w:bottom w:val="single" w:color="auto" w:sz="4" w:space="0"/>
                    <w:right w:val="single" w:color="auto" w:sz="4" w:space="0"/>
                  </w:tcBorders>
                  <w:vAlign w:val="center"/>
                </w:tcPr>
                <w:p w14:paraId="38A95F24">
                  <w:pPr>
                    <w:widowControl/>
                    <w:adjustRightInd w:val="0"/>
                    <w:jc w:val="left"/>
                    <w:rPr>
                      <w:rFonts w:hint="default" w:ascii="Times New Roman" w:hAnsi="Times New Roman" w:eastAsia="宋体" w:cs="Times New Roman"/>
                      <w:color w:val="auto"/>
                      <w:kern w:val="0"/>
                      <w:szCs w:val="21"/>
                      <w:highlight w:val="none"/>
                    </w:rPr>
                  </w:pPr>
                </w:p>
              </w:tc>
              <w:tc>
                <w:tcPr>
                  <w:tcW w:w="1288" w:type="dxa"/>
                  <w:vMerge w:val="continue"/>
                  <w:tcBorders>
                    <w:top w:val="nil"/>
                    <w:left w:val="single" w:color="auto" w:sz="4" w:space="0"/>
                    <w:bottom w:val="single" w:color="auto" w:sz="4" w:space="0"/>
                    <w:right w:val="single" w:color="auto" w:sz="4" w:space="0"/>
                  </w:tcBorders>
                  <w:vAlign w:val="center"/>
                </w:tcPr>
                <w:p w14:paraId="74CD2CD1">
                  <w:pPr>
                    <w:widowControl/>
                    <w:adjustRightInd w:val="0"/>
                    <w:jc w:val="left"/>
                    <w:rPr>
                      <w:rFonts w:hint="default" w:ascii="Times New Roman" w:hAnsi="Times New Roman" w:eastAsia="宋体" w:cs="Times New Roman"/>
                      <w:color w:val="auto"/>
                      <w:kern w:val="0"/>
                      <w:szCs w:val="21"/>
                      <w:highlight w:val="none"/>
                    </w:rPr>
                  </w:pPr>
                </w:p>
              </w:tc>
            </w:tr>
          </w:tbl>
          <w:p w14:paraId="15A76218">
            <w:pPr>
              <w:adjustRightIn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（2）地表水</w:t>
            </w:r>
          </w:p>
          <w:p w14:paraId="2BECCD67">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现场勘查，本项目220kV升压站选址不涉及饮用水水源保护区，项目与云龙水库水源保护区的最近直线距离约9.8km，升压站周边最近地表水体为项目西侧约2.47km处的运昌大沟，运昌大沟为掌鸠河支流，掌鸠河为普渡河支流。根据《云南省水功能区划（2014年修订）》，运昌大沟未纳入水环境功能区划，普渡河该河段属普渡河富民-禄劝保留区，2030水质目标规划水平年水质目标为Ⅳ类，根据支流保护级别不得低于干流保护级别要求，运昌大沟执行《地表水环境质量标准》（GB3838-2002）Ⅳ类水质</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lang w:val="zh-CN"/>
              </w:rPr>
              <w:t>见下表。</w:t>
            </w:r>
          </w:p>
          <w:p w14:paraId="17D90117">
            <w:pPr>
              <w:tabs>
                <w:tab w:val="center" w:pos="4252"/>
                <w:tab w:val="right" w:pos="8504"/>
              </w:tabs>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 xml:space="preserve">12  </w:t>
            </w:r>
            <w:r>
              <w:rPr>
                <w:rFonts w:hint="default" w:ascii="Times New Roman" w:hAnsi="Times New Roman" w:eastAsia="宋体" w:cs="Times New Roman"/>
                <w:b/>
                <w:bCs/>
                <w:color w:val="auto"/>
                <w:sz w:val="24"/>
                <w:szCs w:val="24"/>
                <w:highlight w:val="none"/>
              </w:rPr>
              <w:t>地表水环境质量标准（GB3838-2002）（单位：mg/L，pH无量纲）</w:t>
            </w:r>
          </w:p>
          <w:tbl>
            <w:tblPr>
              <w:tblStyle w:val="49"/>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519"/>
              <w:gridCol w:w="922"/>
              <w:gridCol w:w="893"/>
              <w:gridCol w:w="766"/>
              <w:gridCol w:w="865"/>
              <w:gridCol w:w="766"/>
              <w:gridCol w:w="607"/>
            </w:tblGrid>
            <w:tr w14:paraId="046A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99" w:type="dxa"/>
                  <w:tcBorders>
                    <w:top w:val="single" w:color="auto" w:sz="4" w:space="0"/>
                    <w:left w:val="single" w:color="auto" w:sz="4" w:space="0"/>
                    <w:bottom w:val="single" w:color="auto" w:sz="4" w:space="0"/>
                    <w:right w:val="single" w:color="auto" w:sz="4" w:space="0"/>
                  </w:tcBorders>
                  <w:vAlign w:val="center"/>
                </w:tcPr>
                <w:p w14:paraId="56A9D86F">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污染物</w:t>
                  </w:r>
                </w:p>
              </w:tc>
              <w:tc>
                <w:tcPr>
                  <w:tcW w:w="1519" w:type="dxa"/>
                  <w:tcBorders>
                    <w:top w:val="single" w:color="auto" w:sz="4" w:space="0"/>
                    <w:left w:val="single" w:color="auto" w:sz="4" w:space="0"/>
                    <w:bottom w:val="single" w:color="auto" w:sz="4" w:space="0"/>
                    <w:right w:val="single" w:color="auto" w:sz="4" w:space="0"/>
                  </w:tcBorders>
                  <w:vAlign w:val="center"/>
                </w:tcPr>
                <w:p w14:paraId="2E0D37DF">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pH</w:t>
                  </w:r>
                </w:p>
              </w:tc>
              <w:tc>
                <w:tcPr>
                  <w:tcW w:w="922" w:type="dxa"/>
                  <w:tcBorders>
                    <w:top w:val="single" w:color="auto" w:sz="4" w:space="0"/>
                    <w:left w:val="single" w:color="auto" w:sz="4" w:space="0"/>
                    <w:bottom w:val="single" w:color="auto" w:sz="4" w:space="0"/>
                    <w:right w:val="single" w:color="auto" w:sz="4" w:space="0"/>
                  </w:tcBorders>
                  <w:vAlign w:val="center"/>
                </w:tcPr>
                <w:p w14:paraId="603CB1B7">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COD</w:t>
                  </w:r>
                </w:p>
              </w:tc>
              <w:tc>
                <w:tcPr>
                  <w:tcW w:w="893" w:type="dxa"/>
                  <w:tcBorders>
                    <w:top w:val="single" w:color="auto" w:sz="4" w:space="0"/>
                    <w:left w:val="single" w:color="auto" w:sz="4" w:space="0"/>
                    <w:bottom w:val="single" w:color="auto" w:sz="4" w:space="0"/>
                    <w:right w:val="single" w:color="auto" w:sz="4" w:space="0"/>
                  </w:tcBorders>
                  <w:vAlign w:val="center"/>
                </w:tcPr>
                <w:p w14:paraId="6E4DDA63">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BOD</w:t>
                  </w:r>
                  <w:r>
                    <w:rPr>
                      <w:rFonts w:hint="default" w:ascii="Times New Roman" w:hAnsi="Times New Roman" w:eastAsia="宋体" w:cs="Times New Roman"/>
                      <w:b/>
                      <w:color w:val="auto"/>
                      <w:kern w:val="0"/>
                      <w:szCs w:val="21"/>
                      <w:highlight w:val="none"/>
                      <w:vertAlign w:val="subscript"/>
                    </w:rPr>
                    <w:t>5</w:t>
                  </w:r>
                </w:p>
              </w:tc>
              <w:tc>
                <w:tcPr>
                  <w:tcW w:w="766" w:type="dxa"/>
                  <w:tcBorders>
                    <w:top w:val="single" w:color="auto" w:sz="4" w:space="0"/>
                    <w:left w:val="single" w:color="auto" w:sz="4" w:space="0"/>
                    <w:bottom w:val="single" w:color="auto" w:sz="4" w:space="0"/>
                    <w:right w:val="single" w:color="auto" w:sz="4" w:space="0"/>
                  </w:tcBorders>
                  <w:vAlign w:val="center"/>
                </w:tcPr>
                <w:p w14:paraId="5B3B8066">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氨氮</w:t>
                  </w:r>
                </w:p>
              </w:tc>
              <w:tc>
                <w:tcPr>
                  <w:tcW w:w="865" w:type="dxa"/>
                  <w:tcBorders>
                    <w:top w:val="single" w:color="auto" w:sz="4" w:space="0"/>
                    <w:left w:val="single" w:color="auto" w:sz="4" w:space="0"/>
                    <w:bottom w:val="single" w:color="auto" w:sz="4" w:space="0"/>
                    <w:right w:val="single" w:color="auto" w:sz="4" w:space="0"/>
                  </w:tcBorders>
                  <w:vAlign w:val="center"/>
                </w:tcPr>
                <w:p w14:paraId="2E1C1EFA">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石油类</w:t>
                  </w:r>
                </w:p>
              </w:tc>
              <w:tc>
                <w:tcPr>
                  <w:tcW w:w="766" w:type="dxa"/>
                  <w:tcBorders>
                    <w:top w:val="single" w:color="auto" w:sz="4" w:space="0"/>
                    <w:left w:val="single" w:color="auto" w:sz="4" w:space="0"/>
                    <w:bottom w:val="single" w:color="auto" w:sz="4" w:space="0"/>
                    <w:right w:val="single" w:color="auto" w:sz="4" w:space="0"/>
                  </w:tcBorders>
                  <w:vAlign w:val="center"/>
                </w:tcPr>
                <w:p w14:paraId="0E494438">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TP</w:t>
                  </w:r>
                </w:p>
              </w:tc>
              <w:tc>
                <w:tcPr>
                  <w:tcW w:w="607" w:type="dxa"/>
                  <w:tcBorders>
                    <w:top w:val="single" w:color="auto" w:sz="4" w:space="0"/>
                    <w:left w:val="single" w:color="auto" w:sz="4" w:space="0"/>
                    <w:bottom w:val="single" w:color="auto" w:sz="4" w:space="0"/>
                    <w:right w:val="single" w:color="auto" w:sz="4" w:space="0"/>
                  </w:tcBorders>
                  <w:vAlign w:val="center"/>
                </w:tcPr>
                <w:p w14:paraId="5E0C527A">
                  <w:pPr>
                    <w:autoSpaceDE w:val="0"/>
                    <w:autoSpaceDN w:val="0"/>
                    <w:adjustRightIn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TN</w:t>
                  </w:r>
                </w:p>
              </w:tc>
            </w:tr>
            <w:tr w14:paraId="5184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699" w:type="dxa"/>
                  <w:tcBorders>
                    <w:top w:val="single" w:color="auto" w:sz="4" w:space="0"/>
                    <w:left w:val="single" w:color="auto" w:sz="4" w:space="0"/>
                    <w:bottom w:val="single" w:color="auto" w:sz="4" w:space="0"/>
                    <w:right w:val="single" w:color="auto" w:sz="4" w:space="0"/>
                  </w:tcBorders>
                  <w:vAlign w:val="center"/>
                </w:tcPr>
                <w:p w14:paraId="32AEB96C">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Ⅲ类标准值（≤）</w:t>
                  </w:r>
                </w:p>
              </w:tc>
              <w:tc>
                <w:tcPr>
                  <w:tcW w:w="1519" w:type="dxa"/>
                  <w:tcBorders>
                    <w:top w:val="single" w:color="auto" w:sz="4" w:space="0"/>
                    <w:left w:val="single" w:color="auto" w:sz="4" w:space="0"/>
                    <w:bottom w:val="single" w:color="auto" w:sz="4" w:space="0"/>
                    <w:right w:val="single" w:color="auto" w:sz="4" w:space="0"/>
                  </w:tcBorders>
                  <w:vAlign w:val="center"/>
                </w:tcPr>
                <w:p w14:paraId="488BCD56">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6～9</w:t>
                  </w:r>
                </w:p>
              </w:tc>
              <w:tc>
                <w:tcPr>
                  <w:tcW w:w="922" w:type="dxa"/>
                  <w:tcBorders>
                    <w:top w:val="single" w:color="auto" w:sz="4" w:space="0"/>
                    <w:left w:val="single" w:color="auto" w:sz="4" w:space="0"/>
                    <w:bottom w:val="single" w:color="auto" w:sz="4" w:space="0"/>
                    <w:right w:val="single" w:color="auto" w:sz="4" w:space="0"/>
                  </w:tcBorders>
                  <w:vAlign w:val="center"/>
                </w:tcPr>
                <w:p w14:paraId="1084642E">
                  <w:p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30</w:t>
                  </w:r>
                </w:p>
              </w:tc>
              <w:tc>
                <w:tcPr>
                  <w:tcW w:w="893" w:type="dxa"/>
                  <w:tcBorders>
                    <w:top w:val="single" w:color="auto" w:sz="4" w:space="0"/>
                    <w:left w:val="single" w:color="auto" w:sz="4" w:space="0"/>
                    <w:bottom w:val="single" w:color="auto" w:sz="4" w:space="0"/>
                    <w:right w:val="single" w:color="auto" w:sz="4" w:space="0"/>
                  </w:tcBorders>
                  <w:vAlign w:val="center"/>
                </w:tcPr>
                <w:p w14:paraId="2D84756E">
                  <w:pPr>
                    <w:autoSpaceDE w:val="0"/>
                    <w:autoSpaceDN w:val="0"/>
                    <w:adjustRightIn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val="en-US" w:eastAsia="zh-CN"/>
                    </w:rPr>
                    <w:t>6</w:t>
                  </w:r>
                </w:p>
              </w:tc>
              <w:tc>
                <w:tcPr>
                  <w:tcW w:w="766" w:type="dxa"/>
                  <w:tcBorders>
                    <w:top w:val="single" w:color="auto" w:sz="4" w:space="0"/>
                    <w:left w:val="single" w:color="auto" w:sz="4" w:space="0"/>
                    <w:bottom w:val="single" w:color="auto" w:sz="4" w:space="0"/>
                    <w:right w:val="single" w:color="auto" w:sz="4" w:space="0"/>
                  </w:tcBorders>
                  <w:vAlign w:val="center"/>
                </w:tcPr>
                <w:p w14:paraId="4037CFD8">
                  <w:pPr>
                    <w:autoSpaceDE w:val="0"/>
                    <w:autoSpaceDN w:val="0"/>
                    <w:adjustRightIn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1</w:t>
                  </w:r>
                  <w:r>
                    <w:rPr>
                      <w:rFonts w:hint="default" w:ascii="Times New Roman" w:hAnsi="Times New Roman" w:eastAsia="宋体" w:cs="Times New Roman"/>
                      <w:color w:val="auto"/>
                      <w:kern w:val="0"/>
                      <w:szCs w:val="21"/>
                      <w:highlight w:val="none"/>
                      <w:lang w:val="en-US" w:eastAsia="zh-CN"/>
                    </w:rPr>
                    <w:t>.5</w:t>
                  </w:r>
                </w:p>
              </w:tc>
              <w:tc>
                <w:tcPr>
                  <w:tcW w:w="865" w:type="dxa"/>
                  <w:tcBorders>
                    <w:top w:val="single" w:color="auto" w:sz="4" w:space="0"/>
                    <w:left w:val="single" w:color="auto" w:sz="4" w:space="0"/>
                    <w:bottom w:val="single" w:color="auto" w:sz="4" w:space="0"/>
                    <w:right w:val="single" w:color="auto" w:sz="4" w:space="0"/>
                  </w:tcBorders>
                  <w:vAlign w:val="center"/>
                </w:tcPr>
                <w:p w14:paraId="4045D8CB">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0.5</w:t>
                  </w:r>
                </w:p>
              </w:tc>
              <w:tc>
                <w:tcPr>
                  <w:tcW w:w="766" w:type="dxa"/>
                  <w:tcBorders>
                    <w:top w:val="single" w:color="auto" w:sz="4" w:space="0"/>
                    <w:left w:val="single" w:color="auto" w:sz="4" w:space="0"/>
                    <w:bottom w:val="single" w:color="auto" w:sz="4" w:space="0"/>
                    <w:right w:val="single" w:color="auto" w:sz="4" w:space="0"/>
                  </w:tcBorders>
                  <w:vAlign w:val="center"/>
                </w:tcPr>
                <w:p w14:paraId="11FC9C13">
                  <w:pPr>
                    <w:autoSpaceDE w:val="0"/>
                    <w:autoSpaceDN w:val="0"/>
                    <w:adjustRightIn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0.</w:t>
                  </w:r>
                  <w:r>
                    <w:rPr>
                      <w:rFonts w:hint="default" w:ascii="Times New Roman" w:hAnsi="Times New Roman" w:eastAsia="宋体" w:cs="Times New Roman"/>
                      <w:color w:val="auto"/>
                      <w:kern w:val="0"/>
                      <w:szCs w:val="21"/>
                      <w:highlight w:val="none"/>
                      <w:lang w:val="en-US" w:eastAsia="zh-CN"/>
                    </w:rPr>
                    <w:t>3</w:t>
                  </w:r>
                </w:p>
              </w:tc>
              <w:tc>
                <w:tcPr>
                  <w:tcW w:w="607" w:type="dxa"/>
                  <w:tcBorders>
                    <w:top w:val="single" w:color="auto" w:sz="4" w:space="0"/>
                    <w:left w:val="single" w:color="auto" w:sz="4" w:space="0"/>
                    <w:bottom w:val="single" w:color="auto" w:sz="4" w:space="0"/>
                    <w:right w:val="single" w:color="auto" w:sz="4" w:space="0"/>
                  </w:tcBorders>
                  <w:vAlign w:val="center"/>
                </w:tcPr>
                <w:p w14:paraId="7E2FBEF7">
                  <w:pPr>
                    <w:autoSpaceDE w:val="0"/>
                    <w:autoSpaceDN w:val="0"/>
                    <w:adjustRightIn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1.</w:t>
                  </w:r>
                  <w:r>
                    <w:rPr>
                      <w:rFonts w:hint="default" w:ascii="Times New Roman" w:hAnsi="Times New Roman" w:eastAsia="宋体" w:cs="Times New Roman"/>
                      <w:color w:val="auto"/>
                      <w:kern w:val="0"/>
                      <w:szCs w:val="21"/>
                      <w:highlight w:val="none"/>
                      <w:lang w:val="en-US" w:eastAsia="zh-CN"/>
                    </w:rPr>
                    <w:t>5</w:t>
                  </w:r>
                </w:p>
              </w:tc>
            </w:tr>
          </w:tbl>
          <w:p w14:paraId="5E588138">
            <w:pPr>
              <w:adjustRightIn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（3）声环境</w:t>
            </w:r>
          </w:p>
          <w:p w14:paraId="4AC96FFD">
            <w:pPr>
              <w:adjustRightInd w:val="0"/>
              <w:spacing w:line="360" w:lineRule="auto"/>
              <w:ind w:firstLine="480" w:firstLineChars="200"/>
              <w:rPr>
                <w:rFonts w:hint="default" w:ascii="Times New Roman" w:hAnsi="Times New Roman" w:eastAsia="宋体" w:cs="Times New Roman"/>
                <w:color w:val="auto"/>
                <w:sz w:val="28"/>
                <w:highlight w:val="none"/>
              </w:rPr>
            </w:pPr>
            <w:r>
              <w:rPr>
                <w:rFonts w:hint="default" w:ascii="Times New Roman" w:hAnsi="Times New Roman" w:eastAsia="宋体" w:cs="Times New Roman"/>
                <w:b w:val="0"/>
                <w:bCs w:val="0"/>
                <w:color w:val="auto"/>
                <w:sz w:val="24"/>
                <w:szCs w:val="24"/>
                <w:highlight w:val="none"/>
              </w:rPr>
              <w:t>本工程位于</w:t>
            </w:r>
            <w:r>
              <w:rPr>
                <w:rFonts w:hint="default" w:ascii="Times New Roman" w:hAnsi="Times New Roman" w:eastAsia="宋体" w:cs="Times New Roman"/>
                <w:color w:val="auto"/>
                <w:sz w:val="24"/>
                <w:szCs w:val="24"/>
                <w:highlight w:val="none"/>
                <w:u w:val="none"/>
                <w:lang w:eastAsia="zh-CN"/>
              </w:rPr>
              <w:t>昆明市禄劝县团街镇境内</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color w:val="auto"/>
                <w:sz w:val="24"/>
                <w:highlight w:val="none"/>
                <w:lang w:val="en-US" w:eastAsia="zh-CN"/>
              </w:rPr>
              <w:t>220kV升压站所在地</w:t>
            </w:r>
            <w:r>
              <w:rPr>
                <w:rFonts w:hint="default" w:ascii="Times New Roman" w:hAnsi="Times New Roman" w:eastAsia="宋体" w:cs="Times New Roman"/>
                <w:color w:val="auto"/>
                <w:sz w:val="24"/>
                <w:highlight w:val="none"/>
                <w:lang w:eastAsia="zh-CN"/>
              </w:rPr>
              <w:t>声环境质量执行《声环境质量标准》（GB3096-2008）2类标准。</w:t>
            </w:r>
            <w:r>
              <w:rPr>
                <w:rFonts w:hint="default" w:ascii="Times New Roman" w:hAnsi="Times New Roman" w:eastAsia="宋体" w:cs="Times New Roman"/>
                <w:color w:val="auto"/>
                <w:sz w:val="24"/>
                <w:highlight w:val="none"/>
                <w:lang w:val="en-US" w:eastAsia="zh-CN"/>
              </w:rPr>
              <w:t>具体标准</w:t>
            </w:r>
            <w:r>
              <w:rPr>
                <w:rFonts w:hint="default" w:ascii="Times New Roman" w:hAnsi="Times New Roman" w:eastAsia="宋体" w:cs="Times New Roman"/>
                <w:color w:val="auto"/>
                <w:sz w:val="24"/>
                <w:highlight w:val="none"/>
              </w:rPr>
              <w:t>限值见下表。</w:t>
            </w:r>
          </w:p>
          <w:p w14:paraId="202EDD9A">
            <w:pPr>
              <w:adjustRightInd w:val="0"/>
              <w:ind w:firstLine="482" w:firstLineChars="20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 xml:space="preserve">13  </w:t>
            </w:r>
            <w:r>
              <w:rPr>
                <w:rFonts w:hint="default" w:ascii="Times New Roman" w:hAnsi="Times New Roman" w:eastAsia="宋体" w:cs="Times New Roman"/>
                <w:b/>
                <w:bCs/>
                <w:color w:val="auto"/>
                <w:sz w:val="24"/>
                <w:szCs w:val="24"/>
                <w:highlight w:val="none"/>
              </w:rPr>
              <w:t>声环境质量标准（GB3096-2008）</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单位：dB(A)</w:t>
            </w:r>
          </w:p>
          <w:tbl>
            <w:tblPr>
              <w:tblStyle w:val="49"/>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6"/>
              <w:gridCol w:w="2586"/>
              <w:gridCol w:w="2656"/>
            </w:tblGrid>
            <w:tr w14:paraId="02E3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56" w:type="dxa"/>
                  <w:tcBorders>
                    <w:top w:val="single" w:color="auto" w:sz="4" w:space="0"/>
                    <w:left w:val="single" w:color="auto" w:sz="4" w:space="0"/>
                    <w:bottom w:val="single" w:color="auto" w:sz="4" w:space="0"/>
                    <w:right w:val="single" w:color="auto" w:sz="4" w:space="0"/>
                  </w:tcBorders>
                  <w:vAlign w:val="center"/>
                </w:tcPr>
                <w:p w14:paraId="73421876">
                  <w:pPr>
                    <w:adjustRightIn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2586" w:type="dxa"/>
                  <w:tcBorders>
                    <w:top w:val="single" w:color="auto" w:sz="4" w:space="0"/>
                    <w:left w:val="single" w:color="auto" w:sz="4" w:space="0"/>
                    <w:bottom w:val="single" w:color="auto" w:sz="4" w:space="0"/>
                    <w:right w:val="single" w:color="auto" w:sz="4" w:space="0"/>
                  </w:tcBorders>
                  <w:vAlign w:val="center"/>
                </w:tcPr>
                <w:p w14:paraId="78ED6EBA">
                  <w:pPr>
                    <w:adjustRightIn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昼夜</w:t>
                  </w:r>
                </w:p>
              </w:tc>
              <w:tc>
                <w:tcPr>
                  <w:tcW w:w="2656" w:type="dxa"/>
                  <w:tcBorders>
                    <w:top w:val="single" w:color="auto" w:sz="4" w:space="0"/>
                    <w:left w:val="single" w:color="auto" w:sz="4" w:space="0"/>
                    <w:bottom w:val="single" w:color="auto" w:sz="4" w:space="0"/>
                    <w:right w:val="single" w:color="auto" w:sz="4" w:space="0"/>
                  </w:tcBorders>
                  <w:vAlign w:val="center"/>
                </w:tcPr>
                <w:p w14:paraId="3422CD00">
                  <w:pPr>
                    <w:adjustRightIn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夜间</w:t>
                  </w:r>
                </w:p>
              </w:tc>
            </w:tr>
            <w:tr w14:paraId="590C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656" w:type="dxa"/>
                  <w:tcBorders>
                    <w:top w:val="single" w:color="auto" w:sz="4" w:space="0"/>
                    <w:left w:val="single" w:color="auto" w:sz="4" w:space="0"/>
                    <w:bottom w:val="single" w:color="auto" w:sz="4" w:space="0"/>
                    <w:right w:val="single" w:color="auto" w:sz="4" w:space="0"/>
                  </w:tcBorders>
                  <w:vAlign w:val="center"/>
                </w:tcPr>
                <w:p w14:paraId="7F364BD1">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2类</w:t>
                  </w:r>
                </w:p>
              </w:tc>
              <w:tc>
                <w:tcPr>
                  <w:tcW w:w="2586" w:type="dxa"/>
                  <w:tcBorders>
                    <w:top w:val="single" w:color="auto" w:sz="4" w:space="0"/>
                    <w:left w:val="single" w:color="auto" w:sz="4" w:space="0"/>
                    <w:bottom w:val="single" w:color="auto" w:sz="4" w:space="0"/>
                    <w:right w:val="single" w:color="auto" w:sz="4" w:space="0"/>
                  </w:tcBorders>
                  <w:vAlign w:val="center"/>
                </w:tcPr>
                <w:p w14:paraId="6FF09A95">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60</w:t>
                  </w:r>
                </w:p>
              </w:tc>
              <w:tc>
                <w:tcPr>
                  <w:tcW w:w="2656" w:type="dxa"/>
                  <w:tcBorders>
                    <w:top w:val="single" w:color="auto" w:sz="4" w:space="0"/>
                    <w:left w:val="single" w:color="auto" w:sz="4" w:space="0"/>
                    <w:bottom w:val="single" w:color="auto" w:sz="4" w:space="0"/>
                    <w:right w:val="single" w:color="auto" w:sz="4" w:space="0"/>
                  </w:tcBorders>
                  <w:vAlign w:val="center"/>
                </w:tcPr>
                <w:p w14:paraId="7BBCA87E">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bl>
          <w:p w14:paraId="7C8DD36F">
            <w:pPr>
              <w:adjustRightIn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（4）电磁环境</w:t>
            </w:r>
          </w:p>
          <w:p w14:paraId="63A01C80">
            <w:pPr>
              <w:adjustRightInd w:val="0"/>
              <w:spacing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highlight w:val="none"/>
              </w:rPr>
              <w:t>我国现行电磁环境质量标准为《电磁环境控制限值》（GB8702-2014），本工程输电线路工作频率为0.05kH</w:t>
            </w:r>
            <w:r>
              <w:rPr>
                <w:rFonts w:hint="default" w:ascii="Times New Roman" w:hAnsi="Times New Roman" w:eastAsia="宋体" w:cs="Times New Roman"/>
                <w:color w:val="auto"/>
                <w:sz w:val="24"/>
                <w:highlight w:val="none"/>
                <w:lang w:val="en-US" w:eastAsia="zh-CN"/>
              </w:rPr>
              <w:t>z</w:t>
            </w:r>
            <w:r>
              <w:rPr>
                <w:rFonts w:hint="default" w:ascii="Times New Roman" w:hAnsi="Times New Roman" w:eastAsia="宋体" w:cs="Times New Roman"/>
                <w:color w:val="auto"/>
                <w:sz w:val="24"/>
                <w:highlight w:val="none"/>
              </w:rPr>
              <w:t>，依据GB8702-201</w:t>
            </w:r>
            <w:r>
              <w:rPr>
                <w:rFonts w:hint="default" w:ascii="Times New Roman" w:hAnsi="Times New Roman" w:eastAsia="宋体" w:cs="Times New Roman"/>
                <w:color w:val="auto"/>
                <w:sz w:val="24"/>
                <w:szCs w:val="24"/>
                <w:highlight w:val="none"/>
              </w:rPr>
              <w:t>4规定，为控制电场、磁场、电磁场所致公众暴露，环境中电场、磁场控制限值应满足下表要求。</w:t>
            </w:r>
            <w:r>
              <w:rPr>
                <w:rFonts w:hint="default" w:ascii="Times New Roman" w:hAnsi="Times New Roman" w:eastAsia="宋体" w:cs="Times New Roman"/>
                <w:color w:val="auto"/>
                <w:sz w:val="24"/>
                <w:szCs w:val="24"/>
                <w:highlight w:val="none"/>
                <w:lang w:val="en-US" w:eastAsia="zh-CN"/>
              </w:rPr>
              <w:t>详见表3-14。</w:t>
            </w:r>
          </w:p>
          <w:p w14:paraId="0973EA4A">
            <w:pPr>
              <w:pStyle w:val="167"/>
              <w:spacing w:after="0"/>
              <w:ind w:left="0" w:left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 xml:space="preserve">14  </w:t>
            </w:r>
            <w:r>
              <w:rPr>
                <w:rFonts w:hint="default" w:ascii="Times New Roman" w:hAnsi="Times New Roman" w:eastAsia="宋体" w:cs="Times New Roman"/>
                <w:b/>
                <w:bCs/>
                <w:color w:val="auto"/>
                <w:sz w:val="24"/>
                <w:szCs w:val="24"/>
                <w:highlight w:val="none"/>
              </w:rPr>
              <w:t>公众暴露控制限值</w:t>
            </w:r>
          </w:p>
          <w:tbl>
            <w:tblPr>
              <w:tblStyle w:val="49"/>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2592"/>
              <w:gridCol w:w="2814"/>
            </w:tblGrid>
            <w:tr w14:paraId="6059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613" w:type="dxa"/>
                  <w:vAlign w:val="center"/>
                </w:tcPr>
                <w:p w14:paraId="566FD387">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频率（k</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val="en-US" w:eastAsia="zh-CN"/>
                    </w:rPr>
                    <w:t>z</w:t>
                  </w:r>
                  <w:r>
                    <w:rPr>
                      <w:rFonts w:hint="default" w:ascii="Times New Roman" w:hAnsi="Times New Roman" w:eastAsia="宋体" w:cs="Times New Roman"/>
                      <w:color w:val="auto"/>
                      <w:szCs w:val="21"/>
                      <w:highlight w:val="none"/>
                    </w:rPr>
                    <w:t>）</w:t>
                  </w:r>
                </w:p>
              </w:tc>
              <w:tc>
                <w:tcPr>
                  <w:tcW w:w="2592" w:type="dxa"/>
                  <w:vAlign w:val="center"/>
                </w:tcPr>
                <w:p w14:paraId="5E2D7CDE">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电场强度E（V/m）</w:t>
                  </w:r>
                </w:p>
              </w:tc>
              <w:tc>
                <w:tcPr>
                  <w:tcW w:w="2814" w:type="dxa"/>
                  <w:vAlign w:val="center"/>
                </w:tcPr>
                <w:p w14:paraId="1F1E1793">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磁感应强度B（µT）</w:t>
                  </w:r>
                </w:p>
              </w:tc>
            </w:tr>
            <w:tr w14:paraId="1143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13" w:type="dxa"/>
                  <w:vAlign w:val="center"/>
                </w:tcPr>
                <w:p w14:paraId="5170CE5B">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0.025～1.2</w:t>
                  </w:r>
                </w:p>
              </w:tc>
              <w:tc>
                <w:tcPr>
                  <w:tcW w:w="2592" w:type="dxa"/>
                  <w:vAlign w:val="center"/>
                </w:tcPr>
                <w:p w14:paraId="546327B3">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r>
                    <w:rPr>
                      <w:rFonts w:hint="default" w:ascii="Times New Roman" w:hAnsi="Times New Roman" w:eastAsia="宋体" w:cs="Times New Roman"/>
                      <w:i/>
                      <w:color w:val="auto"/>
                      <w:szCs w:val="21"/>
                      <w:highlight w:val="none"/>
                    </w:rPr>
                    <w:t>f</w:t>
                  </w:r>
                </w:p>
              </w:tc>
              <w:tc>
                <w:tcPr>
                  <w:tcW w:w="2814" w:type="dxa"/>
                  <w:vAlign w:val="center"/>
                </w:tcPr>
                <w:p w14:paraId="39EF9B40">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default" w:ascii="Times New Roman" w:hAnsi="Times New Roman" w:eastAsia="宋体" w:cs="Times New Roman"/>
                      <w:i/>
                      <w:color w:val="auto"/>
                      <w:szCs w:val="21"/>
                      <w:highlight w:val="none"/>
                    </w:rPr>
                    <w:t>f</w:t>
                  </w:r>
                </w:p>
              </w:tc>
            </w:tr>
            <w:tr w14:paraId="5EA5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613" w:type="dxa"/>
                  <w:vAlign w:val="center"/>
                </w:tcPr>
                <w:p w14:paraId="3E6B8AA6">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工作频率（0.05k</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val="en-US" w:eastAsia="zh-CN"/>
                    </w:rPr>
                    <w:t>z</w:t>
                  </w:r>
                  <w:r>
                    <w:rPr>
                      <w:rFonts w:hint="default" w:ascii="Times New Roman" w:hAnsi="Times New Roman" w:eastAsia="宋体" w:cs="Times New Roman"/>
                      <w:color w:val="auto"/>
                      <w:szCs w:val="21"/>
                      <w:highlight w:val="none"/>
                    </w:rPr>
                    <w:t>）</w:t>
                  </w:r>
                </w:p>
              </w:tc>
              <w:tc>
                <w:tcPr>
                  <w:tcW w:w="2592" w:type="dxa"/>
                  <w:vAlign w:val="center"/>
                </w:tcPr>
                <w:p w14:paraId="110D8152">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4000</w:t>
                  </w:r>
                </w:p>
              </w:tc>
              <w:tc>
                <w:tcPr>
                  <w:tcW w:w="2814" w:type="dxa"/>
                  <w:vAlign w:val="center"/>
                </w:tcPr>
                <w:p w14:paraId="0A7CA091">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r>
          </w:tbl>
          <w:p w14:paraId="191D0930">
            <w:pPr>
              <w:adjustRightInd w:val="0"/>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2、污染物排放标准</w:t>
            </w:r>
          </w:p>
          <w:p w14:paraId="7E35CF59">
            <w:pPr>
              <w:adjustRightIn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（1）废气</w:t>
            </w:r>
          </w:p>
          <w:p w14:paraId="4D900980">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施工期已结束，根据《中清能禄劝县岩子头200MW生态修复光伏电站项目环境影响报告表》，升压站运营期废气主要为食堂油烟，食堂油烟执行《饮食业油烟排放标准》（试行）（GB18483-2001），具体标准限值详见表3-15。</w:t>
            </w:r>
          </w:p>
          <w:p w14:paraId="0F751F37">
            <w:pPr>
              <w:pageBreakBefore w:val="0"/>
              <w:kinsoku/>
              <w:wordWrap/>
              <w:bidi w:val="0"/>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3-15</w:t>
            </w:r>
            <w:r>
              <w:rPr>
                <w:rFonts w:hint="default" w:ascii="Times New Roman" w:hAnsi="Times New Roman" w:eastAsia="宋体" w:cs="Times New Roman"/>
                <w:b/>
                <w:color w:val="auto"/>
                <w:sz w:val="24"/>
                <w:szCs w:val="24"/>
                <w:highlight w:val="none"/>
              </w:rPr>
              <w:t xml:space="preserve">   饮食业油烟排放标准（试行）</w:t>
            </w:r>
          </w:p>
          <w:tbl>
            <w:tblPr>
              <w:tblStyle w:val="49"/>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540"/>
              <w:gridCol w:w="1889"/>
              <w:gridCol w:w="1751"/>
            </w:tblGrid>
            <w:tr w14:paraId="1C60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57" w:type="dxa"/>
                  <w:noWrap w:val="0"/>
                  <w:vAlign w:val="center"/>
                </w:tcPr>
                <w:p w14:paraId="4DB8DBC8">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规模</w:t>
                  </w:r>
                </w:p>
              </w:tc>
              <w:tc>
                <w:tcPr>
                  <w:tcW w:w="1540" w:type="dxa"/>
                  <w:noWrap w:val="0"/>
                  <w:vAlign w:val="center"/>
                </w:tcPr>
                <w:p w14:paraId="28A14DEF">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小型</w:t>
                  </w:r>
                </w:p>
              </w:tc>
              <w:tc>
                <w:tcPr>
                  <w:tcW w:w="1889" w:type="dxa"/>
                  <w:noWrap w:val="0"/>
                  <w:vAlign w:val="center"/>
                </w:tcPr>
                <w:p w14:paraId="36CCDC11">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中型</w:t>
                  </w:r>
                </w:p>
              </w:tc>
              <w:tc>
                <w:tcPr>
                  <w:tcW w:w="1751" w:type="dxa"/>
                  <w:noWrap w:val="0"/>
                  <w:vAlign w:val="center"/>
                </w:tcPr>
                <w:p w14:paraId="6F590C7D">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大型</w:t>
                  </w:r>
                </w:p>
              </w:tc>
            </w:tr>
            <w:tr w14:paraId="2574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57" w:type="dxa"/>
                  <w:noWrap w:val="0"/>
                  <w:vAlign w:val="center"/>
                </w:tcPr>
                <w:p w14:paraId="20538784">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最高允许排放浓度（mg/m</w:t>
                  </w:r>
                  <w:r>
                    <w:rPr>
                      <w:rFonts w:hint="default" w:ascii="Times New Roman" w:hAnsi="Times New Roman" w:eastAsia="宋体" w:cs="Times New Roman"/>
                      <w:bCs/>
                      <w:color w:val="auto"/>
                      <w:szCs w:val="21"/>
                      <w:highlight w:val="none"/>
                      <w:vertAlign w:val="superscript"/>
                    </w:rPr>
                    <w:t>3</w:t>
                  </w:r>
                  <w:r>
                    <w:rPr>
                      <w:rFonts w:hint="default" w:ascii="Times New Roman" w:hAnsi="Times New Roman" w:eastAsia="宋体" w:cs="Times New Roman"/>
                      <w:bCs/>
                      <w:color w:val="auto"/>
                      <w:szCs w:val="21"/>
                      <w:highlight w:val="none"/>
                    </w:rPr>
                    <w:t>）</w:t>
                  </w:r>
                </w:p>
              </w:tc>
              <w:tc>
                <w:tcPr>
                  <w:tcW w:w="5180" w:type="dxa"/>
                  <w:gridSpan w:val="3"/>
                  <w:noWrap w:val="0"/>
                  <w:vAlign w:val="center"/>
                </w:tcPr>
                <w:p w14:paraId="6262D2DA">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r>
            <w:tr w14:paraId="4E6A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57" w:type="dxa"/>
                  <w:noWrap w:val="0"/>
                  <w:vAlign w:val="center"/>
                </w:tcPr>
                <w:p w14:paraId="6CECB47D">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净化设施最低去除效率（%）</w:t>
                  </w:r>
                </w:p>
              </w:tc>
              <w:tc>
                <w:tcPr>
                  <w:tcW w:w="1540" w:type="dxa"/>
                  <w:noWrap w:val="0"/>
                  <w:vAlign w:val="center"/>
                </w:tcPr>
                <w:p w14:paraId="2F35DBA4">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60</w:t>
                  </w:r>
                </w:p>
              </w:tc>
              <w:tc>
                <w:tcPr>
                  <w:tcW w:w="1889" w:type="dxa"/>
                  <w:noWrap w:val="0"/>
                  <w:vAlign w:val="center"/>
                </w:tcPr>
                <w:p w14:paraId="7D247040">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75</w:t>
                  </w:r>
                </w:p>
              </w:tc>
              <w:tc>
                <w:tcPr>
                  <w:tcW w:w="1751" w:type="dxa"/>
                  <w:noWrap w:val="0"/>
                  <w:vAlign w:val="center"/>
                </w:tcPr>
                <w:p w14:paraId="5067B75F">
                  <w:pPr>
                    <w:pageBreakBefore w:val="0"/>
                    <w:kinsoku/>
                    <w:wordWrap/>
                    <w:bidi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85</w:t>
                  </w:r>
                </w:p>
              </w:tc>
            </w:tr>
          </w:tbl>
          <w:p w14:paraId="7EC66A69">
            <w:pPr>
              <w:adjustRightIn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（2）废水</w:t>
            </w:r>
          </w:p>
          <w:p w14:paraId="12611A17">
            <w:pPr>
              <w:adjustRightInd w:val="0"/>
              <w:spacing w:line="360" w:lineRule="auto"/>
              <w:ind w:firstLine="480" w:firstLineChars="200"/>
              <w:rPr>
                <w:rFonts w:hint="default" w:ascii="Times New Roman" w:hAnsi="Times New Roman" w:eastAsia="宋体" w:cs="Times New Roman"/>
                <w:color w:val="auto"/>
                <w:spacing w:val="1"/>
                <w:sz w:val="24"/>
                <w:highlight w:val="none"/>
                <w:lang w:val="en-US" w:eastAsia="zh-CN"/>
              </w:rPr>
            </w:pPr>
            <w:r>
              <w:rPr>
                <w:rFonts w:hint="default" w:ascii="Times New Roman" w:hAnsi="Times New Roman" w:eastAsia="宋体" w:cs="Times New Roman"/>
                <w:color w:val="auto"/>
                <w:sz w:val="24"/>
                <w:highlight w:val="none"/>
                <w:lang w:val="en-US" w:eastAsia="zh-CN"/>
              </w:rPr>
              <w:t>本项目施工期已结束，根据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环境影响报告表》，升压站</w:t>
            </w:r>
            <w:r>
              <w:rPr>
                <w:rFonts w:hint="default" w:ascii="Times New Roman" w:hAnsi="Times New Roman" w:eastAsia="宋体" w:cs="Times New Roman"/>
                <w:color w:val="auto"/>
                <w:sz w:val="24"/>
                <w:highlight w:val="none"/>
                <w:lang w:val="en-US" w:eastAsia="zh-CN"/>
              </w:rPr>
              <w:t>运营期废水经食堂隔油池、化粪池、一体化污水处理站</w:t>
            </w:r>
            <w:r>
              <w:rPr>
                <w:rFonts w:hint="default" w:ascii="Times New Roman" w:hAnsi="Times New Roman" w:eastAsia="宋体" w:cs="Times New Roman"/>
                <w:color w:val="auto"/>
                <w:highlight w:val="none"/>
              </w:rPr>
              <w:t>处理达到《城市污水再生利用城</w:t>
            </w:r>
            <w:r>
              <w:rPr>
                <w:rFonts w:hint="default" w:ascii="Times New Roman" w:hAnsi="Times New Roman" w:eastAsia="宋体" w:cs="Times New Roman"/>
                <w:color w:val="auto"/>
                <w:spacing w:val="1"/>
                <w:sz w:val="24"/>
                <w:highlight w:val="none"/>
                <w:lang w:val="en-US" w:eastAsia="zh-CN"/>
              </w:rPr>
              <w:t>市杂用水水质》（GB/T18920-2020）中绿化标准后回用于升压站内绿化用水，不外排。具体指标详见下表。</w:t>
            </w:r>
          </w:p>
          <w:p w14:paraId="6ADFD47A">
            <w:pPr>
              <w:adjustRightInd w:val="0"/>
              <w:spacing w:line="240" w:lineRule="auto"/>
              <w:ind w:firstLine="486" w:firstLineChars="200"/>
              <w:jc w:val="center"/>
              <w:rPr>
                <w:rFonts w:hint="default" w:ascii="Times New Roman" w:hAnsi="Times New Roman" w:eastAsia="宋体" w:cs="Times New Roman"/>
                <w:b/>
                <w:bCs/>
                <w:color w:val="auto"/>
                <w:spacing w:val="1"/>
                <w:sz w:val="24"/>
                <w:highlight w:val="none"/>
                <w:lang w:val="en-US" w:eastAsia="zh-CN"/>
              </w:rPr>
            </w:pPr>
            <w:r>
              <w:rPr>
                <w:rFonts w:hint="default" w:ascii="Times New Roman" w:hAnsi="Times New Roman" w:eastAsia="宋体" w:cs="Times New Roman"/>
                <w:b/>
                <w:bCs/>
                <w:color w:val="auto"/>
                <w:spacing w:val="1"/>
                <w:sz w:val="24"/>
                <w:highlight w:val="none"/>
                <w:lang w:val="en-US" w:eastAsia="zh-CN"/>
              </w:rPr>
              <w:t>表3-16  城市污水再生利用 城市杂用水水质</w:t>
            </w:r>
          </w:p>
          <w:tbl>
            <w:tblPr>
              <w:tblStyle w:val="4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178"/>
              <w:gridCol w:w="2943"/>
            </w:tblGrid>
            <w:tr w14:paraId="602E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0D6F05F4">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4178" w:type="dxa"/>
                  <w:shd w:val="clear" w:color="auto" w:fill="auto"/>
                  <w:noWrap w:val="0"/>
                  <w:vAlign w:val="center"/>
                </w:tcPr>
                <w:p w14:paraId="493A946B">
                  <w:pPr>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水质指标</w:t>
                  </w:r>
                </w:p>
              </w:tc>
              <w:tc>
                <w:tcPr>
                  <w:tcW w:w="2943" w:type="dxa"/>
                  <w:shd w:val="clear" w:color="auto" w:fill="auto"/>
                  <w:noWrap w:val="0"/>
                  <w:vAlign w:val="center"/>
                </w:tcPr>
                <w:p w14:paraId="480C5CBE">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城市绿化、道路清扫</w:t>
                  </w:r>
                </w:p>
              </w:tc>
            </w:tr>
            <w:tr w14:paraId="45AE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4F9F4CF2">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4178" w:type="dxa"/>
                  <w:shd w:val="clear" w:color="auto" w:fill="auto"/>
                  <w:noWrap w:val="0"/>
                  <w:vAlign w:val="center"/>
                </w:tcPr>
                <w:p w14:paraId="6D96D64F">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pH</w:t>
                  </w:r>
                  <w:r>
                    <w:rPr>
                      <w:rFonts w:hint="default" w:ascii="Times New Roman" w:hAnsi="Times New Roman" w:eastAsia="宋体" w:cs="Times New Roman"/>
                      <w:color w:val="auto"/>
                      <w:highlight w:val="none"/>
                    </w:rPr>
                    <w:t>（无量纲）</w:t>
                  </w:r>
                </w:p>
              </w:tc>
              <w:tc>
                <w:tcPr>
                  <w:tcW w:w="2943" w:type="dxa"/>
                  <w:shd w:val="clear" w:color="auto" w:fill="auto"/>
                  <w:noWrap w:val="0"/>
                  <w:vAlign w:val="center"/>
                </w:tcPr>
                <w:p w14:paraId="0F1F67EF">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6.0~9.0</w:t>
                  </w:r>
                </w:p>
              </w:tc>
            </w:tr>
            <w:tr w14:paraId="56D5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7212C5AC">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4178" w:type="dxa"/>
                  <w:shd w:val="clear" w:color="auto" w:fill="auto"/>
                  <w:noWrap w:val="0"/>
                  <w:vAlign w:val="center"/>
                </w:tcPr>
                <w:p w14:paraId="628F8229">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色度/，铂钴色度单位</w:t>
                  </w:r>
                </w:p>
              </w:tc>
              <w:tc>
                <w:tcPr>
                  <w:tcW w:w="2943" w:type="dxa"/>
                  <w:shd w:val="clear" w:color="auto" w:fill="auto"/>
                  <w:noWrap w:val="0"/>
                  <w:vAlign w:val="center"/>
                </w:tcPr>
                <w:p w14:paraId="1161F3DD">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30</w:t>
                  </w:r>
                </w:p>
              </w:tc>
            </w:tr>
            <w:tr w14:paraId="69DF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749D14FF">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4178" w:type="dxa"/>
                  <w:shd w:val="clear" w:color="auto" w:fill="auto"/>
                  <w:noWrap w:val="0"/>
                  <w:vAlign w:val="center"/>
                </w:tcPr>
                <w:p w14:paraId="354B2B68">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嗅</w:t>
                  </w:r>
                </w:p>
              </w:tc>
              <w:tc>
                <w:tcPr>
                  <w:tcW w:w="2943" w:type="dxa"/>
                  <w:shd w:val="clear" w:color="auto" w:fill="auto"/>
                  <w:noWrap w:val="0"/>
                  <w:vAlign w:val="center"/>
                </w:tcPr>
                <w:p w14:paraId="4EFFBF5E">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无不快感</w:t>
                  </w:r>
                </w:p>
              </w:tc>
            </w:tr>
            <w:tr w14:paraId="324F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269249D2">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4178" w:type="dxa"/>
                  <w:shd w:val="clear" w:color="auto" w:fill="auto"/>
                  <w:noWrap w:val="0"/>
                  <w:vAlign w:val="center"/>
                </w:tcPr>
                <w:p w14:paraId="5F84D56D">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/（mg/L）</w:t>
                  </w:r>
                </w:p>
              </w:tc>
              <w:tc>
                <w:tcPr>
                  <w:tcW w:w="2943" w:type="dxa"/>
                  <w:shd w:val="clear" w:color="auto" w:fill="auto"/>
                  <w:noWrap w:val="0"/>
                  <w:vAlign w:val="center"/>
                </w:tcPr>
                <w:p w14:paraId="4C7AE934">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10</w:t>
                  </w:r>
                </w:p>
              </w:tc>
            </w:tr>
            <w:tr w14:paraId="1B9C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6DB575A3">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4178" w:type="dxa"/>
                  <w:shd w:val="clear" w:color="auto" w:fill="auto"/>
                  <w:noWrap w:val="0"/>
                  <w:vAlign w:val="center"/>
                </w:tcPr>
                <w:p w14:paraId="5A8AB5F0">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氨氮/（mg/L）</w:t>
                  </w:r>
                </w:p>
              </w:tc>
              <w:tc>
                <w:tcPr>
                  <w:tcW w:w="2943" w:type="dxa"/>
                  <w:shd w:val="clear" w:color="auto" w:fill="auto"/>
                  <w:noWrap w:val="0"/>
                  <w:vAlign w:val="center"/>
                </w:tcPr>
                <w:p w14:paraId="0636C18D">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8</w:t>
                  </w:r>
                </w:p>
              </w:tc>
            </w:tr>
            <w:tr w14:paraId="3094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0A01A32C">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4178" w:type="dxa"/>
                  <w:shd w:val="clear" w:color="auto" w:fill="auto"/>
                  <w:noWrap w:val="0"/>
                  <w:vAlign w:val="center"/>
                </w:tcPr>
                <w:p w14:paraId="7271C758">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阴离子表面活性剂/（mg/L）</w:t>
                  </w:r>
                </w:p>
              </w:tc>
              <w:tc>
                <w:tcPr>
                  <w:tcW w:w="2943" w:type="dxa"/>
                  <w:shd w:val="clear" w:color="auto" w:fill="auto"/>
                  <w:noWrap w:val="0"/>
                  <w:vAlign w:val="center"/>
                </w:tcPr>
                <w:p w14:paraId="27897480">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0.5</w:t>
                  </w:r>
                </w:p>
              </w:tc>
            </w:tr>
            <w:tr w14:paraId="1B99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4477FE2B">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4178" w:type="dxa"/>
                  <w:shd w:val="clear" w:color="auto" w:fill="auto"/>
                  <w:noWrap w:val="0"/>
                  <w:vAlign w:val="center"/>
                </w:tcPr>
                <w:p w14:paraId="01144B25">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溶解性总固体/（mg/L）</w:t>
                  </w:r>
                </w:p>
              </w:tc>
              <w:tc>
                <w:tcPr>
                  <w:tcW w:w="2943" w:type="dxa"/>
                  <w:shd w:val="clear" w:color="auto" w:fill="auto"/>
                  <w:noWrap w:val="0"/>
                  <w:vAlign w:val="center"/>
                </w:tcPr>
                <w:p w14:paraId="31250D81">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1000</w:t>
                  </w:r>
                </w:p>
              </w:tc>
            </w:tr>
            <w:tr w14:paraId="18E8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1A71DFA3">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4178" w:type="dxa"/>
                  <w:shd w:val="clear" w:color="auto" w:fill="auto"/>
                  <w:noWrap w:val="0"/>
                  <w:vAlign w:val="center"/>
                </w:tcPr>
                <w:p w14:paraId="721CE226">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溶解氧/（mg/L）</w:t>
                  </w:r>
                </w:p>
              </w:tc>
              <w:tc>
                <w:tcPr>
                  <w:tcW w:w="2943" w:type="dxa"/>
                  <w:shd w:val="clear" w:color="auto" w:fill="auto"/>
                  <w:noWrap w:val="0"/>
                  <w:vAlign w:val="center"/>
                </w:tcPr>
                <w:p w14:paraId="4C13004B">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2.0</w:t>
                  </w:r>
                </w:p>
              </w:tc>
            </w:tr>
            <w:tr w14:paraId="621A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shd w:val="clear" w:color="auto" w:fill="auto"/>
                  <w:noWrap w:val="0"/>
                  <w:vAlign w:val="center"/>
                </w:tcPr>
                <w:p w14:paraId="4C1C3AA7">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4178" w:type="dxa"/>
                  <w:shd w:val="clear" w:color="auto" w:fill="auto"/>
                  <w:noWrap w:val="0"/>
                  <w:vAlign w:val="center"/>
                </w:tcPr>
                <w:p w14:paraId="4E584DF1">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总氯/（mg/L）</w:t>
                  </w:r>
                </w:p>
              </w:tc>
              <w:tc>
                <w:tcPr>
                  <w:tcW w:w="2943" w:type="dxa"/>
                  <w:shd w:val="clear" w:color="auto" w:fill="auto"/>
                  <w:noWrap w:val="0"/>
                  <w:vAlign w:val="center"/>
                </w:tcPr>
                <w:p w14:paraId="691D310D">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1.0</w:t>
                  </w:r>
                </w:p>
              </w:tc>
            </w:tr>
            <w:tr w14:paraId="1361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17" w:type="dxa"/>
                  <w:shd w:val="clear" w:color="auto" w:fill="auto"/>
                  <w:noWrap w:val="0"/>
                  <w:vAlign w:val="center"/>
                </w:tcPr>
                <w:p w14:paraId="7FF94667">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4178" w:type="dxa"/>
                  <w:shd w:val="clear" w:color="auto" w:fill="auto"/>
                  <w:noWrap w:val="0"/>
                  <w:vAlign w:val="center"/>
                </w:tcPr>
                <w:p w14:paraId="3B25646C">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大肠埃希氏菌/（MPN/100mL或CFU/00mL）</w:t>
                  </w:r>
                </w:p>
              </w:tc>
              <w:tc>
                <w:tcPr>
                  <w:tcW w:w="2943" w:type="dxa"/>
                  <w:shd w:val="clear" w:color="auto" w:fill="auto"/>
                  <w:noWrap w:val="0"/>
                  <w:vAlign w:val="center"/>
                </w:tcPr>
                <w:p w14:paraId="4A122234">
                  <w:pPr>
                    <w:spacing w:line="24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不应检出</w:t>
                  </w:r>
                </w:p>
              </w:tc>
            </w:tr>
          </w:tbl>
          <w:p w14:paraId="0787A97F">
            <w:pPr>
              <w:adjustRightIn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（3）噪声</w:t>
            </w:r>
          </w:p>
          <w:p w14:paraId="416702EB">
            <w:pPr>
              <w:spacing w:line="360" w:lineRule="auto"/>
              <w:ind w:firstLine="50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本项目施工期已结束，根据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环境影响报告表》，升压站厂界噪声执行</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val="en-US" w:eastAsia="zh-CN"/>
              </w:rPr>
              <w:t>具体</w:t>
            </w:r>
            <w:r>
              <w:rPr>
                <w:rFonts w:hint="default" w:ascii="Times New Roman" w:hAnsi="Times New Roman" w:eastAsia="宋体" w:cs="Times New Roman"/>
                <w:color w:val="auto"/>
                <w:sz w:val="24"/>
                <w:szCs w:val="24"/>
                <w:highlight w:val="none"/>
              </w:rPr>
              <w:t>标准限值见表3-1</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603D8C32">
            <w:pPr>
              <w:pStyle w:val="327"/>
              <w:adjustRightInd/>
              <w:snapToGrid/>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表3-1</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工业企业厂界环境噪声排放</w:t>
            </w:r>
            <w:r>
              <w:rPr>
                <w:rFonts w:hint="default" w:ascii="Times New Roman" w:hAnsi="Times New Roman" w:eastAsia="宋体"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eastAsia="zh-CN"/>
              </w:rPr>
              <w:t>》</w:t>
            </w:r>
          </w:p>
          <w:tbl>
            <w:tblPr>
              <w:tblStyle w:val="49"/>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833"/>
              <w:gridCol w:w="2420"/>
            </w:tblGrid>
            <w:tr w14:paraId="7BBD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724" w:type="pct"/>
                  <w:vMerge w:val="restart"/>
                  <w:shd w:val="clear" w:color="auto" w:fill="auto"/>
                  <w:vAlign w:val="center"/>
                </w:tcPr>
                <w:p w14:paraId="1E683B30">
                  <w:pPr>
                    <w:pStyle w:val="325"/>
                    <w:adjustRightInd/>
                    <w:snapToGrid/>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功能区类别</w:t>
                  </w:r>
                </w:p>
              </w:tc>
              <w:tc>
                <w:tcPr>
                  <w:tcW w:w="3275" w:type="pct"/>
                  <w:gridSpan w:val="2"/>
                  <w:shd w:val="clear" w:color="auto" w:fill="auto"/>
                  <w:vAlign w:val="center"/>
                </w:tcPr>
                <w:p w14:paraId="2CF3DE5B">
                  <w:pPr>
                    <w:pStyle w:val="325"/>
                    <w:adjustRightInd/>
                    <w:snapToGrid/>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噪声限值</w:t>
                  </w:r>
                </w:p>
              </w:tc>
            </w:tr>
            <w:tr w14:paraId="0202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24" w:type="pct"/>
                  <w:vMerge w:val="continue"/>
                  <w:shd w:val="clear" w:color="auto" w:fill="auto"/>
                  <w:vAlign w:val="center"/>
                </w:tcPr>
                <w:p w14:paraId="37B13F5B">
                  <w:pPr>
                    <w:pStyle w:val="325"/>
                    <w:adjustRightInd/>
                    <w:snapToGrid/>
                    <w:jc w:val="center"/>
                    <w:rPr>
                      <w:rFonts w:hint="default" w:ascii="Times New Roman" w:hAnsi="Times New Roman" w:eastAsia="宋体" w:cs="Times New Roman"/>
                      <w:b/>
                      <w:bCs/>
                      <w:color w:val="auto"/>
                      <w:highlight w:val="none"/>
                    </w:rPr>
                  </w:pPr>
                </w:p>
              </w:tc>
              <w:tc>
                <w:tcPr>
                  <w:tcW w:w="1766" w:type="pct"/>
                  <w:shd w:val="clear" w:color="auto" w:fill="auto"/>
                  <w:vAlign w:val="center"/>
                </w:tcPr>
                <w:p w14:paraId="609B4F48">
                  <w:pPr>
                    <w:pStyle w:val="325"/>
                    <w:adjustRightInd/>
                    <w:snapToGrid/>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昼间dB（A）</w:t>
                  </w:r>
                </w:p>
              </w:tc>
              <w:tc>
                <w:tcPr>
                  <w:tcW w:w="1508" w:type="pct"/>
                  <w:shd w:val="clear" w:color="auto" w:fill="auto"/>
                  <w:vAlign w:val="center"/>
                </w:tcPr>
                <w:p w14:paraId="24BFB7C7">
                  <w:pPr>
                    <w:pStyle w:val="325"/>
                    <w:adjustRightInd/>
                    <w:snapToGrid/>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夜间dB（A）</w:t>
                  </w:r>
                </w:p>
              </w:tc>
            </w:tr>
            <w:tr w14:paraId="2D21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724" w:type="pct"/>
                  <w:vAlign w:val="center"/>
                </w:tcPr>
                <w:p w14:paraId="35F25943">
                  <w:pPr>
                    <w:pStyle w:val="325"/>
                    <w:adjustRightInd/>
                    <w:snapToGrid/>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类区</w:t>
                  </w:r>
                </w:p>
              </w:tc>
              <w:tc>
                <w:tcPr>
                  <w:tcW w:w="1766" w:type="pct"/>
                  <w:vAlign w:val="center"/>
                </w:tcPr>
                <w:p w14:paraId="287B7AC1">
                  <w:pPr>
                    <w:pStyle w:val="325"/>
                    <w:adjustRightInd/>
                    <w:snapToGrid/>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w:t>
                  </w:r>
                </w:p>
              </w:tc>
              <w:tc>
                <w:tcPr>
                  <w:tcW w:w="1508" w:type="pct"/>
                  <w:vAlign w:val="center"/>
                </w:tcPr>
                <w:p w14:paraId="5063DC2B">
                  <w:pPr>
                    <w:pStyle w:val="325"/>
                    <w:adjustRightInd/>
                    <w:snapToGrid/>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r>
          </w:tbl>
          <w:p w14:paraId="55A40360">
            <w:pPr>
              <w:adjustRightInd w:val="0"/>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（4）电磁环境控制限值</w:t>
            </w:r>
          </w:p>
          <w:p w14:paraId="60DDE7B2">
            <w:pPr>
              <w:spacing w:line="360" w:lineRule="auto"/>
              <w:ind w:firstLine="50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bidi="ar"/>
              </w:rPr>
              <w:t>本项目</w:t>
            </w:r>
            <w:r>
              <w:rPr>
                <w:rFonts w:hint="default" w:ascii="Times New Roman" w:hAnsi="Times New Roman" w:eastAsia="宋体" w:cs="Times New Roman"/>
                <w:color w:val="auto"/>
                <w:sz w:val="24"/>
                <w:highlight w:val="none"/>
                <w:lang w:val="en-US" w:eastAsia="zh-CN" w:bidi="ar"/>
              </w:rPr>
              <w:t>为变电站建设项目，</w:t>
            </w:r>
            <w:r>
              <w:rPr>
                <w:rFonts w:hint="default" w:ascii="Times New Roman" w:hAnsi="Times New Roman" w:eastAsia="宋体" w:cs="Times New Roman"/>
                <w:color w:val="auto"/>
                <w:sz w:val="24"/>
                <w:highlight w:val="none"/>
                <w:lang w:bidi="ar"/>
              </w:rPr>
              <w:t>工程交流电频率为50</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z</w:t>
            </w:r>
            <w:r>
              <w:rPr>
                <w:rFonts w:hint="default" w:ascii="Times New Roman" w:hAnsi="Times New Roman" w:eastAsia="宋体" w:cs="Times New Roman"/>
                <w:color w:val="auto"/>
                <w:sz w:val="24"/>
                <w:highlight w:val="none"/>
                <w:lang w:bidi="ar"/>
              </w:rPr>
              <w:t>（f=0.05k</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z</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szCs w:val="24"/>
                <w:highlight w:val="none"/>
              </w:rPr>
              <w:t>按照《电磁环境控制限值》（GB 8702-2014）的</w:t>
            </w:r>
            <w:r>
              <w:rPr>
                <w:rFonts w:hint="default" w:ascii="Times New Roman" w:hAnsi="Times New Roman" w:eastAsia="宋体" w:cs="Times New Roman"/>
                <w:color w:val="auto"/>
                <w:sz w:val="24"/>
                <w:szCs w:val="24"/>
                <w:highlight w:val="none"/>
                <w:lang w:val="en-US" w:eastAsia="zh-CN"/>
              </w:rPr>
              <w:t>相关</w:t>
            </w:r>
            <w:r>
              <w:rPr>
                <w:rFonts w:hint="default" w:ascii="Times New Roman" w:hAnsi="Times New Roman" w:eastAsia="宋体" w:cs="Times New Roman"/>
                <w:color w:val="auto"/>
                <w:sz w:val="24"/>
                <w:szCs w:val="24"/>
                <w:highlight w:val="none"/>
              </w:rPr>
              <w:t>要求。本项目电磁环境控制限值</w:t>
            </w:r>
            <w:r>
              <w:rPr>
                <w:rFonts w:hint="default" w:ascii="Times New Roman" w:hAnsi="Times New Roman" w:eastAsia="宋体"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rPr>
              <w:t>见表3-1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14:paraId="3969F51C">
            <w:pPr>
              <w:pStyle w:val="327"/>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表3-1</w:t>
            </w:r>
            <w:r>
              <w:rPr>
                <w:rFonts w:hint="default" w:ascii="Times New Roman" w:hAnsi="Times New Roman" w:eastAsia="宋体" w:cs="Times New Roman"/>
                <w:color w:val="auto"/>
                <w:sz w:val="24"/>
                <w:szCs w:val="24"/>
                <w:highlight w:val="none"/>
                <w:lang w:val="en-US" w:eastAsia="zh-CN"/>
              </w:rPr>
              <w:t xml:space="preserve">8 </w:t>
            </w:r>
            <w:r>
              <w:rPr>
                <w:rFonts w:hint="default" w:ascii="Times New Roman" w:hAnsi="Times New Roman" w:eastAsia="宋体" w:cs="Times New Roman"/>
                <w:color w:val="auto"/>
                <w:sz w:val="24"/>
                <w:szCs w:val="24"/>
                <w:highlight w:val="none"/>
              </w:rPr>
              <w:t xml:space="preserve">  电磁环境公众曝露控制限值</w:t>
            </w:r>
          </w:p>
          <w:tbl>
            <w:tblPr>
              <w:tblStyle w:val="50"/>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2024"/>
              <w:gridCol w:w="1326"/>
              <w:gridCol w:w="1354"/>
              <w:gridCol w:w="947"/>
            </w:tblGrid>
            <w:tr w14:paraId="4802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5" w:hRule="atLeast"/>
                <w:jc w:val="center"/>
              </w:trPr>
              <w:tc>
                <w:tcPr>
                  <w:tcW w:w="1475" w:type="pct"/>
                  <w:shd w:val="clear" w:color="auto" w:fill="auto"/>
                  <w:vAlign w:val="center"/>
                </w:tcPr>
                <w:p w14:paraId="69A1C258">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项目</w:t>
                  </w:r>
                </w:p>
              </w:tc>
              <w:tc>
                <w:tcPr>
                  <w:tcW w:w="1262" w:type="pct"/>
                  <w:shd w:val="clear" w:color="auto" w:fill="auto"/>
                  <w:vAlign w:val="center"/>
                </w:tcPr>
                <w:p w14:paraId="62985101">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频率范围</w:t>
                  </w:r>
                </w:p>
              </w:tc>
              <w:tc>
                <w:tcPr>
                  <w:tcW w:w="826" w:type="pct"/>
                  <w:shd w:val="clear" w:color="auto" w:fill="auto"/>
                  <w:vAlign w:val="center"/>
                </w:tcPr>
                <w:p w14:paraId="78DC6AF2">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电场强度E（V/m）</w:t>
                  </w:r>
                </w:p>
              </w:tc>
              <w:tc>
                <w:tcPr>
                  <w:tcW w:w="844" w:type="pct"/>
                  <w:shd w:val="clear" w:color="auto" w:fill="auto"/>
                  <w:vAlign w:val="center"/>
                </w:tcPr>
                <w:p w14:paraId="32032448">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磁感应强度B(μT)</w:t>
                  </w:r>
                </w:p>
              </w:tc>
              <w:tc>
                <w:tcPr>
                  <w:tcW w:w="590" w:type="pct"/>
                  <w:shd w:val="clear" w:color="auto" w:fill="auto"/>
                  <w:vAlign w:val="center"/>
                </w:tcPr>
                <w:p w14:paraId="3D7A9A9A">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14:paraId="61F8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475" w:type="pct"/>
                  <w:vAlign w:val="center"/>
                </w:tcPr>
                <w:p w14:paraId="76C28815">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《电磁环境控制限值》（GB 8702-2014）</w:t>
                  </w:r>
                </w:p>
              </w:tc>
              <w:tc>
                <w:tcPr>
                  <w:tcW w:w="1262" w:type="pct"/>
                  <w:vAlign w:val="center"/>
                </w:tcPr>
                <w:p w14:paraId="06182854">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25Hz</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1200Hz</w:t>
                  </w:r>
                </w:p>
              </w:tc>
              <w:tc>
                <w:tcPr>
                  <w:tcW w:w="826" w:type="pct"/>
                  <w:vAlign w:val="center"/>
                </w:tcPr>
                <w:p w14:paraId="1C28C9A5">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200/f</w:t>
                  </w:r>
                </w:p>
              </w:tc>
              <w:tc>
                <w:tcPr>
                  <w:tcW w:w="844" w:type="pct"/>
                  <w:vAlign w:val="center"/>
                </w:tcPr>
                <w:p w14:paraId="0DD14ED8">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5/f</w:t>
                  </w:r>
                </w:p>
              </w:tc>
              <w:tc>
                <w:tcPr>
                  <w:tcW w:w="590" w:type="pct"/>
                  <w:vAlign w:val="center"/>
                </w:tcPr>
                <w:p w14:paraId="784DDC21">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f代表频率</w:t>
                  </w:r>
                </w:p>
              </w:tc>
            </w:tr>
            <w:tr w14:paraId="4563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75" w:type="pct"/>
                  <w:vAlign w:val="center"/>
                </w:tcPr>
                <w:p w14:paraId="5981E6BE">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变电站</w:t>
                  </w:r>
                </w:p>
              </w:tc>
              <w:tc>
                <w:tcPr>
                  <w:tcW w:w="1262" w:type="pct"/>
                  <w:vAlign w:val="center"/>
                </w:tcPr>
                <w:p w14:paraId="26F8B0A5">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0.05kHz</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rPr>
                    <w:t>Hz</w:t>
                  </w:r>
                  <w:r>
                    <w:rPr>
                      <w:rFonts w:hint="default" w:ascii="Times New Roman" w:hAnsi="Times New Roman" w:eastAsia="宋体" w:cs="Times New Roman"/>
                      <w:color w:val="auto"/>
                      <w:highlight w:val="none"/>
                      <w:lang w:eastAsia="zh-CN"/>
                    </w:rPr>
                    <w:t>）</w:t>
                  </w:r>
                </w:p>
              </w:tc>
              <w:tc>
                <w:tcPr>
                  <w:tcW w:w="826" w:type="pct"/>
                  <w:vAlign w:val="center"/>
                </w:tcPr>
                <w:p w14:paraId="5F7F37DD">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4000V/m</w:t>
                  </w:r>
                </w:p>
              </w:tc>
              <w:tc>
                <w:tcPr>
                  <w:tcW w:w="844" w:type="pct"/>
                  <w:vAlign w:val="center"/>
                </w:tcPr>
                <w:p w14:paraId="2F298CA6">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100μT</w:t>
                  </w:r>
                </w:p>
              </w:tc>
              <w:tc>
                <w:tcPr>
                  <w:tcW w:w="590" w:type="pct"/>
                  <w:vAlign w:val="center"/>
                </w:tcPr>
                <w:p w14:paraId="17A0ED71">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14:paraId="32E7066E">
            <w:pPr>
              <w:pStyle w:val="25"/>
              <w:numPr>
                <w:ilvl w:val="0"/>
                <w:numId w:val="4"/>
              </w:numPr>
              <w:spacing w:after="0"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固体废弃物</w:t>
            </w:r>
          </w:p>
          <w:p w14:paraId="21A69F12">
            <w:pPr>
              <w:pStyle w:val="26"/>
              <w:numPr>
                <w:ilvl w:val="0"/>
                <w:numId w:val="0"/>
              </w:num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sz w:val="24"/>
                <w:highlight w:val="none"/>
                <w:lang w:val="en-US" w:eastAsia="zh-CN"/>
              </w:rPr>
              <w:t>本项目施工期已</w:t>
            </w:r>
            <w:r>
              <w:rPr>
                <w:rFonts w:hint="default" w:ascii="Times New Roman" w:hAnsi="Times New Roman" w:eastAsia="宋体" w:cs="Times New Roman"/>
                <w:color w:val="auto"/>
                <w:sz w:val="24"/>
                <w:szCs w:val="24"/>
                <w:highlight w:val="none"/>
                <w:lang w:val="en-US" w:eastAsia="zh-CN"/>
              </w:rPr>
              <w:t>结束，根据《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升压站一般固废执行《一般工业固体废物贮存和填埋污染控制标准》（GB18599-2020）相关要求；危险废物执行《危险废物贮存污染物控制标准》（GB18597-2023）的有关规定，统一收集后并交由有资质的单位处置。</w:t>
            </w:r>
          </w:p>
        </w:tc>
      </w:tr>
      <w:tr w14:paraId="2D3C0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39" w:type="dxa"/>
            <w:vAlign w:val="center"/>
          </w:tcPr>
          <w:p w14:paraId="3DB077E2">
            <w:pPr>
              <w:adjustRightInd w:val="0"/>
              <w:spacing w:line="360" w:lineRule="auto"/>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w:t>
            </w:r>
          </w:p>
        </w:tc>
        <w:tc>
          <w:tcPr>
            <w:tcW w:w="8105" w:type="dxa"/>
            <w:vAlign w:val="center"/>
          </w:tcPr>
          <w:p w14:paraId="505E257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升压站，根据</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pacing w:val="0"/>
                <w:sz w:val="24"/>
                <w:szCs w:val="24"/>
                <w:highlight w:val="none"/>
                <w:lang w:val="en-US" w:eastAsia="zh-CN"/>
              </w:rPr>
              <w:t>环境影响报告表》（报批稿），220kV升压站不设置污染物总量控制指标。本项目不涉及国家规定的污染物总量控制指标，因此不设污染物总量控制指标。</w:t>
            </w:r>
          </w:p>
        </w:tc>
      </w:tr>
    </w:tbl>
    <w:p w14:paraId="56CE1EA2">
      <w:pPr>
        <w:pStyle w:val="43"/>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9"/>
        <w:rPr>
          <w:rFonts w:hint="default" w:ascii="Times New Roman" w:hAnsi="Times New Roman" w:eastAsia="宋体" w:cs="Times New Roman"/>
          <w:snapToGrid w:val="0"/>
          <w:color w:val="auto"/>
          <w:sz w:val="30"/>
          <w:szCs w:val="30"/>
          <w:highlight w:val="none"/>
        </w:rPr>
      </w:pPr>
    </w:p>
    <w:p w14:paraId="6D0D368F">
      <w:pPr>
        <w:pStyle w:val="43"/>
        <w:adjustRightInd w:val="0"/>
        <w:spacing w:before="0" w:beforeAutospacing="0" w:after="167" w:afterLines="50" w:afterAutospacing="0"/>
        <w:jc w:val="center"/>
        <w:rPr>
          <w:rFonts w:hint="default" w:ascii="Times New Roman" w:hAnsi="Times New Roman" w:eastAsia="宋体" w:cs="Times New Roman"/>
          <w:snapToGrid w:val="0"/>
          <w:color w:val="auto"/>
          <w:kern w:val="2"/>
          <w:sz w:val="36"/>
          <w:szCs w:val="36"/>
          <w:highlight w:val="none"/>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0" w:num="1"/>
          <w:rtlGutter w:val="0"/>
          <w:docGrid w:type="lines" w:linePitch="335" w:charSpace="0"/>
        </w:sectPr>
      </w:pPr>
    </w:p>
    <w:p w14:paraId="17156932">
      <w:pPr>
        <w:pStyle w:val="4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20" w:name="_Toc29345"/>
      <w:bookmarkStart w:id="121" w:name="_Toc645"/>
      <w:bookmarkStart w:id="122" w:name="_Toc88128710"/>
      <w:bookmarkStart w:id="123" w:name="_Toc25641"/>
      <w:bookmarkStart w:id="124" w:name="_Toc6521"/>
      <w:bookmarkStart w:id="125" w:name="_Toc14074"/>
      <w:bookmarkStart w:id="126" w:name="_Toc6219"/>
      <w:bookmarkStart w:id="127" w:name="_Toc245"/>
      <w:bookmarkStart w:id="128" w:name="_Toc6566"/>
      <w:bookmarkStart w:id="129" w:name="_Toc3819"/>
      <w:bookmarkStart w:id="130" w:name="_Toc13445"/>
      <w:bookmarkStart w:id="131" w:name="_Toc1103"/>
      <w:r>
        <w:rPr>
          <w:rFonts w:hint="default" w:ascii="Times New Roman" w:hAnsi="Times New Roman" w:eastAsia="宋体" w:cs="Times New Roman"/>
          <w:b/>
          <w:bCs/>
          <w:snapToGrid w:val="0"/>
          <w:color w:val="auto"/>
          <w:sz w:val="30"/>
          <w:szCs w:val="30"/>
          <w:highlight w:val="none"/>
        </w:rPr>
        <w:t>四、生态环境影响分析</w:t>
      </w:r>
      <w:bookmarkEnd w:id="120"/>
      <w:bookmarkEnd w:id="121"/>
      <w:bookmarkEnd w:id="122"/>
      <w:bookmarkEnd w:id="123"/>
      <w:bookmarkEnd w:id="124"/>
      <w:bookmarkEnd w:id="125"/>
      <w:bookmarkEnd w:id="126"/>
      <w:bookmarkEnd w:id="127"/>
      <w:bookmarkEnd w:id="128"/>
      <w:bookmarkEnd w:id="129"/>
      <w:bookmarkEnd w:id="130"/>
      <w:bookmarkEnd w:id="131"/>
    </w:p>
    <w:tbl>
      <w:tblPr>
        <w:tblStyle w:val="49"/>
        <w:tblW w:w="55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797"/>
      </w:tblGrid>
      <w:tr w14:paraId="165DF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 w:type="pct"/>
            <w:tcBorders>
              <w:right w:val="single" w:color="auto" w:sz="4" w:space="0"/>
            </w:tcBorders>
            <w:tcMar>
              <w:left w:w="28" w:type="dxa"/>
              <w:right w:w="28" w:type="dxa"/>
            </w:tcMar>
            <w:vAlign w:val="center"/>
          </w:tcPr>
          <w:p w14:paraId="15334721">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Cs/>
                <w:color w:val="auto"/>
                <w:kern w:val="2"/>
                <w:highlight w:val="none"/>
              </w:rPr>
            </w:pPr>
            <w:bookmarkStart w:id="132" w:name="_Hlk49796138"/>
            <w:r>
              <w:rPr>
                <w:rFonts w:hint="default" w:ascii="Times New Roman" w:hAnsi="Times New Roman" w:eastAsia="宋体" w:cs="Times New Roman"/>
                <w:b/>
                <w:bCs w:val="0"/>
                <w:color w:val="auto"/>
                <w:spacing w:val="10"/>
                <w:kern w:val="2"/>
                <w:highlight w:val="none"/>
              </w:rPr>
              <w:t>施工期生态环境影响分析</w:t>
            </w:r>
            <w:bookmarkEnd w:id="132"/>
          </w:p>
        </w:tc>
        <w:tc>
          <w:tcPr>
            <w:tcW w:w="4666" w:type="pct"/>
            <w:tcBorders>
              <w:top w:val="single" w:color="auto" w:sz="4" w:space="0"/>
              <w:left w:val="single" w:color="auto" w:sz="4" w:space="0"/>
              <w:bottom w:val="single" w:color="auto" w:sz="4" w:space="0"/>
              <w:right w:val="single" w:color="auto" w:sz="4" w:space="0"/>
            </w:tcBorders>
            <w:vAlign w:val="top"/>
          </w:tcPr>
          <w:p w14:paraId="5B55E843">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升压站建设施工期的废水、废气、噪声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val="en-US" w:eastAsia="zh-CN"/>
              </w:rPr>
              <w:t>和生态环境相关影响分析及</w:t>
            </w:r>
            <w:r>
              <w:rPr>
                <w:rFonts w:hint="default" w:ascii="Times New Roman" w:hAnsi="Times New Roman" w:eastAsia="宋体" w:cs="Times New Roman"/>
                <w:color w:val="auto"/>
                <w:sz w:val="24"/>
                <w:szCs w:val="22"/>
                <w:highlight w:val="none"/>
              </w:rPr>
              <w:t>治理措施已在《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环境影响报告表》中进行阐述分析，</w:t>
            </w:r>
            <w:r>
              <w:rPr>
                <w:rFonts w:hint="default" w:ascii="Times New Roman" w:hAnsi="Times New Roman" w:eastAsia="宋体" w:cs="Times New Roman"/>
                <w:color w:val="auto"/>
                <w:sz w:val="24"/>
                <w:szCs w:val="22"/>
                <w:highlight w:val="none"/>
                <w:lang w:val="en-US" w:eastAsia="zh-CN"/>
              </w:rPr>
              <w:t>项目施工期不涉及辐射环境影响；且根据现场调查，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已于2023年11月开工建设，建设完工后于2024年6月投入试运行，项目施工期已结束，施工期环境影响已随着施工期的结束而消失，不存在环境遗留问题，项目施工期间未发生相关环保投诉事件</w:t>
            </w:r>
            <w:r>
              <w:rPr>
                <w:rFonts w:hint="default" w:ascii="Times New Roman" w:hAnsi="Times New Roman" w:eastAsia="宋体" w:cs="Times New Roman"/>
                <w:b w:val="0"/>
                <w:bCs w:val="0"/>
                <w:color w:val="auto"/>
                <w:sz w:val="24"/>
                <w:szCs w:val="24"/>
                <w:highlight w:val="none"/>
              </w:rPr>
              <w:t>。</w:t>
            </w:r>
          </w:p>
        </w:tc>
      </w:tr>
      <w:tr w14:paraId="4EF6F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3" w:type="pct"/>
            <w:tcMar>
              <w:left w:w="28" w:type="dxa"/>
              <w:right w:w="28" w:type="dxa"/>
            </w:tcMar>
            <w:vAlign w:val="center"/>
          </w:tcPr>
          <w:p w14:paraId="06B804E1">
            <w:pPr>
              <w:pStyle w:val="43"/>
              <w:keepNext w:val="0"/>
              <w:keepLines w:val="0"/>
              <w:pageBreakBefore w:val="0"/>
              <w:widowControl/>
              <w:kinsoku/>
              <w:wordWrap/>
              <w:overflowPunct/>
              <w:topLinePunct w:val="0"/>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bCs/>
                <w:color w:val="auto"/>
                <w:spacing w:val="10"/>
                <w:kern w:val="2"/>
                <w:highlight w:val="none"/>
              </w:rPr>
            </w:pPr>
          </w:p>
          <w:p w14:paraId="1A8390E4">
            <w:pPr>
              <w:pStyle w:val="43"/>
              <w:keepNext w:val="0"/>
              <w:keepLines w:val="0"/>
              <w:pageBreakBefore w:val="0"/>
              <w:widowControl/>
              <w:kinsoku/>
              <w:wordWrap/>
              <w:overflowPunct/>
              <w:topLinePunct w:val="0"/>
              <w:bidi w:val="0"/>
              <w:adjustRightInd/>
              <w:snapToGrid/>
              <w:spacing w:before="0" w:beforeAutospacing="0" w:after="0" w:afterAutospacing="0"/>
              <w:ind w:left="-105" w:leftChars="-50" w:right="-105" w:rightChars="-50"/>
              <w:jc w:val="both"/>
              <w:textAlignment w:val="auto"/>
              <w:rPr>
                <w:rFonts w:hint="default" w:ascii="Times New Roman" w:hAnsi="Times New Roman" w:eastAsia="宋体" w:cs="Times New Roman"/>
                <w:bCs/>
                <w:color w:val="auto"/>
                <w:spacing w:val="10"/>
                <w:kern w:val="2"/>
                <w:highlight w:val="none"/>
              </w:rPr>
            </w:pPr>
          </w:p>
          <w:p w14:paraId="2AAF931B">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Cs/>
                <w:color w:val="auto"/>
                <w:kern w:val="2"/>
                <w:highlight w:val="none"/>
              </w:rPr>
            </w:pPr>
            <w:r>
              <w:rPr>
                <w:rFonts w:hint="default" w:ascii="Times New Roman" w:hAnsi="Times New Roman" w:eastAsia="宋体" w:cs="Times New Roman"/>
                <w:b/>
                <w:bCs w:val="0"/>
                <w:color w:val="auto"/>
                <w:spacing w:val="10"/>
                <w:kern w:val="2"/>
                <w:highlight w:val="none"/>
              </w:rPr>
              <w:t>运营期生态环境影响分析</w:t>
            </w:r>
          </w:p>
        </w:tc>
        <w:tc>
          <w:tcPr>
            <w:tcW w:w="4666" w:type="pct"/>
            <w:tcBorders>
              <w:top w:val="single" w:color="auto" w:sz="4" w:space="0"/>
            </w:tcBorders>
            <w:vAlign w:val="top"/>
          </w:tcPr>
          <w:p w14:paraId="382DDF09">
            <w:pPr>
              <w:pStyle w:val="264"/>
              <w:keepNext w:val="0"/>
              <w:keepLines w:val="0"/>
              <w:pageBreakBefore w:val="0"/>
              <w:widowControl w:val="0"/>
              <w:numPr>
                <w:ilvl w:val="0"/>
                <w:numId w:val="5"/>
              </w:numPr>
              <w:kinsoku w:val="0"/>
              <w:wordWrap/>
              <w:overflowPunct w:val="0"/>
              <w:topLinePunct w:val="0"/>
              <w:autoSpaceDE w:val="0"/>
              <w:autoSpaceDN w:val="0"/>
              <w:bidi w:val="0"/>
              <w:adjustRightInd/>
              <w:snapToGrid/>
              <w:spacing w:line="324" w:lineRule="auto"/>
              <w:ind w:firstLine="0" w:firstLineChars="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产污环节分析</w:t>
            </w:r>
          </w:p>
          <w:p w14:paraId="7FCF6A92">
            <w:pPr>
              <w:pStyle w:val="264"/>
              <w:keepNext w:val="0"/>
              <w:keepLines w:val="0"/>
              <w:pageBreakBefore w:val="0"/>
              <w:widowControl w:val="0"/>
              <w:numPr>
                <w:ilvl w:val="0"/>
                <w:numId w:val="0"/>
              </w:numPr>
              <w:kinsoku w:val="0"/>
              <w:wordWrap/>
              <w:overflowPunct w:val="0"/>
              <w:topLinePunct w:val="0"/>
              <w:autoSpaceDE w:val="0"/>
              <w:autoSpaceDN w:val="0"/>
              <w:bidi w:val="0"/>
              <w:adjustRightInd/>
              <w:snapToGrid/>
              <w:spacing w:line="324"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lang w:val="en-US" w:eastAsia="zh-CN"/>
              </w:rPr>
              <w:t>本项目为升压站建设项目，升压站运营过车工艺流程及产污环节如下：</w:t>
            </w:r>
          </w:p>
          <w:p w14:paraId="3DCA6F44">
            <w:pPr>
              <w:pStyle w:val="264"/>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uto"/>
              <w:ind w:right="96" w:right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84455</wp:posOffset>
                      </wp:positionH>
                      <wp:positionV relativeFrom="paragraph">
                        <wp:posOffset>4636135</wp:posOffset>
                      </wp:positionV>
                      <wp:extent cx="4829175" cy="304800"/>
                      <wp:effectExtent l="0" t="0" r="0" b="0"/>
                      <wp:wrapNone/>
                      <wp:docPr id="3" name="文本框 3"/>
                      <wp:cNvGraphicFramePr/>
                      <a:graphic xmlns:a="http://schemas.openxmlformats.org/drawingml/2006/main">
                        <a:graphicData uri="http://schemas.microsoft.com/office/word/2010/wordprocessingShape">
                          <wps:wsp>
                            <wps:cNvSpPr txBox="1"/>
                            <wps:spPr>
                              <a:xfrm>
                                <a:off x="1451610" y="9173210"/>
                                <a:ext cx="482917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F2461">
                                  <w:pPr>
                                    <w:rPr>
                                      <w:rFonts w:hint="default" w:eastAsia="宋体"/>
                                      <w:b/>
                                      <w:bCs/>
                                      <w:sz w:val="18"/>
                                      <w:szCs w:val="18"/>
                                      <w:lang w:val="en-US" w:eastAsia="zh-CN"/>
                                    </w:rPr>
                                  </w:pPr>
                                  <w:r>
                                    <w:rPr>
                                      <w:rFonts w:hint="eastAsia"/>
                                      <w:b/>
                                      <w:bCs/>
                                      <w:sz w:val="18"/>
                                      <w:szCs w:val="18"/>
                                      <w:lang w:val="en-US" w:eastAsia="zh-CN"/>
                                    </w:rPr>
                                    <w:t>注：E-工频电场强度、B-工频磁感应轻度、N-噪声。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365.05pt;height:24pt;width:380.25pt;z-index:251667456;mso-width-relative:page;mso-height-relative:page;" filled="f" stroked="f" coordsize="21600,21600" o:gfxdata="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BxdR2QAAAAoBAAAPAAAAAAAAAAEA&#10;IAAAACIAAABkcnMvZG93bnJldi54bWxQSwECFAAUAAAACACHTuJAPBklIkcCAAByBAAADgAAAAAA&#10;AAABACAAAAAoAQAAZHJzL2Uyb0RvYy54bWxQSwUGAAAAAAYABgBZAQAA4QUAAAAA&#10;">
                      <v:fill on="f" focussize="0,0"/>
                      <v:stroke on="f" weight="0.5pt"/>
                      <v:imagedata o:title=""/>
                      <o:lock v:ext="edit" aspectratio="f"/>
                      <v:textbox>
                        <w:txbxContent>
                          <w:p w14:paraId="005F2461">
                            <w:pPr>
                              <w:rPr>
                                <w:rFonts w:hint="default" w:eastAsia="宋体"/>
                                <w:b/>
                                <w:bCs/>
                                <w:sz w:val="18"/>
                                <w:szCs w:val="18"/>
                                <w:lang w:val="en-US" w:eastAsia="zh-CN"/>
                              </w:rPr>
                            </w:pPr>
                            <w:r>
                              <w:rPr>
                                <w:rFonts w:hint="eastAsia"/>
                                <w:b/>
                                <w:bCs/>
                                <w:sz w:val="18"/>
                                <w:szCs w:val="18"/>
                                <w:lang w:val="en-US" w:eastAsia="zh-CN"/>
                              </w:rPr>
                              <w:t>注：E-工频电场强度、B-工频磁感应轻度、N-噪声。</w:t>
                            </w:r>
                          </w:p>
                        </w:txbxContent>
                      </v:textbox>
                    </v:shape>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132080</wp:posOffset>
                      </wp:positionH>
                      <wp:positionV relativeFrom="paragraph">
                        <wp:posOffset>26035</wp:posOffset>
                      </wp:positionV>
                      <wp:extent cx="5114925" cy="4648200"/>
                      <wp:effectExtent l="6350" t="6350" r="22225" b="12700"/>
                      <wp:wrapNone/>
                      <wp:docPr id="4" name="矩形 4"/>
                      <wp:cNvGraphicFramePr/>
                      <a:graphic xmlns:a="http://schemas.openxmlformats.org/drawingml/2006/main">
                        <a:graphicData uri="http://schemas.microsoft.com/office/word/2010/wordprocessingShape">
                          <wps:wsp>
                            <wps:cNvSpPr/>
                            <wps:spPr>
                              <a:xfrm>
                                <a:off x="1384935" y="4639310"/>
                                <a:ext cx="5114925" cy="464820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pt;margin-top:2.05pt;height:366pt;width:402.75pt;z-index:251668480;v-text-anchor:middle;mso-width-relative:page;mso-height-relative:page;" filled="f" stroked="t" coordsize="21600,21600" o:gfxdata="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QsPNgAAAAIAQAADwAAAAAAAAABACAAAAAiAAAAZHJzL2Rv&#10;d25yZXYueG1sUEsBAhQAFAAAAAgAh07iQKGXe4pzAgAA2AQAAA4AAAAAAAAAAQAgAAAAJwEAAGRy&#10;cy9lMm9Eb2MueG1sUEsFBgAAAAAGAAYAWQEAAAwGAAAAAA==&#10;">
                      <v:fill on="f" focussize="0,0"/>
                      <v:stroke weight="1pt" color="#000000 [3213]" miterlimit="8" joinstyle="miter"/>
                      <v:imagedata o:title=""/>
                      <o:lock v:ext="edit" aspectratio="f"/>
                    </v:rect>
                  </w:pict>
                </mc:Fallback>
              </mc:AlternateContent>
            </w:r>
            <w:r>
              <w:rPr>
                <w:rFonts w:hint="default" w:ascii="Times New Roman" w:hAnsi="Times New Roman" w:eastAsia="宋体" w:cs="Times New Roman"/>
                <w:b/>
                <w:bCs/>
                <w:color w:val="auto"/>
                <w:sz w:val="24"/>
                <w:szCs w:val="24"/>
                <w:highlight w:val="none"/>
                <w:lang w:val="en-US" w:eastAsia="zh-CN"/>
              </w:rPr>
              <w:object>
                <v:shape id="_x0000_i1025" o:spt="75" type="#_x0000_t75" style="height:370.5pt;width:392.5pt;" o:ole="t" filled="f" o:preferrelative="t" stroked="f" coordsize="21600,21600">
                  <v:path/>
                  <v:fill on="f" focussize="0,0"/>
                  <v:stroke on="f"/>
                  <v:imagedata r:id="rId22" cropleft="849f" croptop="1289f" cropright="580f" cropbottom="1015f" o:title=""/>
                  <o:lock v:ext="edit" aspectratio="f"/>
                  <w10:wrap type="none"/>
                  <w10:anchorlock/>
                </v:shape>
                <o:OLEObject Type="Embed" ProgID="Visio.Drawing.11" ShapeID="_x0000_i1025" DrawAspect="Content" ObjectID="_1468075725" r:id="rId21">
                  <o:LockedField>false</o:LockedField>
                </o:OLEObject>
              </w:object>
            </w:r>
          </w:p>
          <w:p w14:paraId="00EE388A">
            <w:pPr>
              <w:pStyle w:val="327"/>
              <w:adjustRightInd/>
              <w:snapToGrid/>
              <w:spacing w:line="24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图4-</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 xml:space="preserve">   本项目</w:t>
            </w:r>
            <w:r>
              <w:rPr>
                <w:rFonts w:hint="default" w:ascii="Times New Roman" w:hAnsi="Times New Roman" w:eastAsia="宋体" w:cs="Times New Roman"/>
                <w:color w:val="auto"/>
                <w:sz w:val="24"/>
                <w:szCs w:val="24"/>
                <w:highlight w:val="none"/>
                <w:lang w:val="en-US" w:eastAsia="zh-CN"/>
              </w:rPr>
              <w:t>变电站</w:t>
            </w:r>
            <w:r>
              <w:rPr>
                <w:rFonts w:hint="default" w:ascii="Times New Roman" w:hAnsi="Times New Roman" w:eastAsia="宋体" w:cs="Times New Roman"/>
                <w:color w:val="auto"/>
                <w:sz w:val="24"/>
                <w:szCs w:val="24"/>
                <w:highlight w:val="none"/>
              </w:rPr>
              <w:t>工艺流程及产污环节图</w:t>
            </w:r>
          </w:p>
          <w:p w14:paraId="45CE9E4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的性质，升压站运行期的环境影响主要有工频电场、工频磁场、噪声、废水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生活污水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食堂油烟及汽车尾气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、固废</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主要包括</w:t>
            </w:r>
            <w:r>
              <w:rPr>
                <w:rFonts w:hint="default" w:ascii="Times New Roman" w:hAnsi="Times New Roman" w:eastAsia="宋体" w:cs="Times New Roman"/>
                <w:color w:val="auto"/>
                <w:sz w:val="24"/>
                <w:szCs w:val="24"/>
                <w:highlight w:val="none"/>
                <w:lang w:eastAsia="zh-CN"/>
              </w:rPr>
              <w:t>废蓄电池、废变压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油、食堂</w:t>
            </w:r>
            <w:r>
              <w:rPr>
                <w:rFonts w:hint="default"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eastAsia="zh-CN"/>
              </w:rPr>
              <w:t>废油脂、化粪池</w:t>
            </w:r>
            <w:r>
              <w:rPr>
                <w:rFonts w:hint="default" w:ascii="Times New Roman" w:hAnsi="Times New Roman" w:eastAsia="宋体" w:cs="Times New Roman"/>
                <w:color w:val="auto"/>
                <w:sz w:val="24"/>
                <w:szCs w:val="24"/>
                <w:highlight w:val="none"/>
                <w:lang w:val="en-US" w:eastAsia="zh-CN"/>
              </w:rPr>
              <w:t>及污水处理站</w:t>
            </w:r>
            <w:r>
              <w:rPr>
                <w:rFonts w:hint="default" w:ascii="Times New Roman" w:hAnsi="Times New Roman" w:eastAsia="宋体" w:cs="Times New Roman"/>
                <w:color w:val="auto"/>
                <w:sz w:val="24"/>
                <w:szCs w:val="24"/>
                <w:highlight w:val="none"/>
                <w:lang w:eastAsia="zh-CN"/>
              </w:rPr>
              <w:t>污泥以及生活垃圾</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p>
          <w:p w14:paraId="116DAFB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升压站营运期的废水、废气、噪声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生态环境及环境风险</w:t>
            </w:r>
            <w:r>
              <w:rPr>
                <w:rFonts w:hint="default" w:ascii="Times New Roman" w:hAnsi="Times New Roman" w:eastAsia="宋体" w:cs="Times New Roman"/>
                <w:color w:val="auto"/>
                <w:sz w:val="24"/>
                <w:szCs w:val="22"/>
                <w:highlight w:val="none"/>
              </w:rPr>
              <w:t>的</w:t>
            </w:r>
            <w:r>
              <w:rPr>
                <w:rFonts w:hint="default" w:ascii="Times New Roman" w:hAnsi="Times New Roman" w:eastAsia="宋体" w:cs="Times New Roman"/>
                <w:color w:val="auto"/>
                <w:sz w:val="24"/>
                <w:szCs w:val="22"/>
                <w:highlight w:val="none"/>
                <w:lang w:val="en-US" w:eastAsia="zh-CN"/>
              </w:rPr>
              <w:t>相关影响分析及</w:t>
            </w:r>
            <w:r>
              <w:rPr>
                <w:rFonts w:hint="default" w:ascii="Times New Roman" w:hAnsi="Times New Roman" w:eastAsia="宋体" w:cs="Times New Roman"/>
                <w:color w:val="auto"/>
                <w:sz w:val="24"/>
                <w:szCs w:val="22"/>
                <w:highlight w:val="none"/>
              </w:rPr>
              <w:t>治理措施已在《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环境影响报告表》中进行阐述分析</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highlight w:val="none"/>
              </w:rPr>
              <w:t>未对升压站电磁环境影响进行分析。因此，本次</w:t>
            </w:r>
            <w:r>
              <w:rPr>
                <w:rFonts w:hint="default" w:ascii="Times New Roman" w:hAnsi="Times New Roman" w:eastAsia="宋体" w:cs="Times New Roman"/>
                <w:color w:val="auto"/>
                <w:sz w:val="24"/>
                <w:highlight w:val="none"/>
                <w:lang w:val="en-US" w:eastAsia="zh-CN"/>
              </w:rPr>
              <w:t>环境影响主要</w:t>
            </w:r>
            <w:r>
              <w:rPr>
                <w:rFonts w:hint="default" w:ascii="Times New Roman" w:hAnsi="Times New Roman" w:eastAsia="宋体" w:cs="Times New Roman"/>
                <w:color w:val="auto"/>
                <w:sz w:val="24"/>
                <w:highlight w:val="none"/>
              </w:rPr>
              <w:t>针对220kV升压站电磁辐射进行分析评价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升压站运营期</w:t>
            </w:r>
            <w:r>
              <w:rPr>
                <w:rFonts w:hint="default" w:ascii="Times New Roman" w:hAnsi="Times New Roman" w:eastAsia="宋体" w:cs="Times New Roman"/>
                <w:color w:val="auto"/>
                <w:sz w:val="24"/>
                <w:szCs w:val="22"/>
                <w:highlight w:val="none"/>
              </w:rPr>
              <w:t>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生态环境影响及环境风险分析相关内容</w:t>
            </w:r>
            <w:r>
              <w:rPr>
                <w:rFonts w:hint="default" w:ascii="Times New Roman" w:hAnsi="Times New Roman" w:eastAsia="宋体" w:cs="Times New Roman"/>
                <w:color w:val="auto"/>
                <w:sz w:val="24"/>
                <w:highlight w:val="none"/>
                <w:lang w:val="en-US" w:eastAsia="zh-CN"/>
              </w:rPr>
              <w:t>主要引用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》中针对升压站的影响分析及提出的环境保护措施，并结合本次环评期间监测结果进行简单描述</w:t>
            </w:r>
            <w:r>
              <w:rPr>
                <w:rFonts w:hint="default" w:ascii="Times New Roman" w:hAnsi="Times New Roman" w:eastAsia="宋体" w:cs="Times New Roman"/>
                <w:color w:val="auto"/>
                <w:sz w:val="24"/>
                <w:highlight w:val="none"/>
              </w:rPr>
              <w:t>。</w:t>
            </w:r>
          </w:p>
          <w:p w14:paraId="4A11B424">
            <w:pPr>
              <w:pStyle w:val="4"/>
              <w:keepNext/>
              <w:keepLines/>
              <w:pageBreakBefore w:val="0"/>
              <w:widowControl w:val="0"/>
              <w:numPr>
                <w:ilvl w:val="0"/>
                <w:numId w:val="6"/>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rPr>
            </w:pPr>
            <w:bookmarkStart w:id="133" w:name="_Toc13017"/>
            <w:bookmarkStart w:id="134" w:name="_Toc19557"/>
            <w:bookmarkStart w:id="135" w:name="_Toc9653"/>
            <w:bookmarkStart w:id="136" w:name="_Toc23575"/>
            <w:bookmarkStart w:id="137" w:name="_Toc1606"/>
            <w:r>
              <w:rPr>
                <w:rFonts w:hint="default" w:ascii="Times New Roman" w:hAnsi="Times New Roman" w:eastAsia="宋体" w:cs="Times New Roman"/>
                <w:color w:val="auto"/>
                <w:sz w:val="24"/>
                <w:szCs w:val="24"/>
                <w:highlight w:val="none"/>
              </w:rPr>
              <w:t>运行期环境影响分析</w:t>
            </w:r>
            <w:bookmarkEnd w:id="133"/>
            <w:bookmarkEnd w:id="134"/>
            <w:bookmarkEnd w:id="135"/>
            <w:bookmarkEnd w:id="136"/>
            <w:bookmarkEnd w:id="137"/>
          </w:p>
          <w:p w14:paraId="511FBBB7">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138" w:name="_Toc30618"/>
            <w:bookmarkStart w:id="139" w:name="_Toc22593"/>
            <w:bookmarkStart w:id="140" w:name="_Toc28208"/>
            <w:bookmarkStart w:id="141" w:name="_Toc4672"/>
            <w:bookmarkStart w:id="142" w:name="_Toc4887"/>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运营期电磁环境影响分析</w:t>
            </w:r>
            <w:bookmarkEnd w:id="138"/>
            <w:bookmarkEnd w:id="139"/>
            <w:bookmarkEnd w:id="140"/>
            <w:bookmarkEnd w:id="141"/>
          </w:p>
          <w:p w14:paraId="7549B986">
            <w:pPr>
              <w:keepNext w:val="0"/>
              <w:keepLines w:val="0"/>
              <w:pageBreakBefore w:val="0"/>
              <w:widowControl w:val="0"/>
              <w:kinsoku/>
              <w:wordWrap/>
              <w:overflowPunct/>
              <w:topLinePunct w:val="0"/>
              <w:autoSpaceDE/>
              <w:autoSpaceDN/>
              <w:bidi w:val="0"/>
              <w:adjustRightInd/>
              <w:snapToGrid/>
              <w:spacing w:line="344" w:lineRule="auto"/>
              <w:ind w:firstLine="480" w:firstLineChars="200"/>
              <w:textAlignment w:val="auto"/>
              <w:rPr>
                <w:rFonts w:hint="default" w:ascii="Times New Roman" w:hAnsi="Times New Roman" w:eastAsia="宋体" w:cs="Times New Roman"/>
                <w:color w:val="auto"/>
                <w:sz w:val="24"/>
                <w:highlight w:val="none"/>
                <w:lang w:val="en-US" w:eastAsia="zh-CN"/>
              </w:rPr>
            </w:pPr>
            <w:bookmarkStart w:id="143" w:name="_Toc8677"/>
            <w:bookmarkStart w:id="144" w:name="_Toc30688"/>
            <w:bookmarkStart w:id="145" w:name="_Toc15344"/>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主变容量为1×200MVA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升压站运营期电磁环境影响主要为</w:t>
            </w:r>
            <w:r>
              <w:rPr>
                <w:rFonts w:hint="default" w:ascii="Times New Roman" w:hAnsi="Times New Roman" w:eastAsia="宋体" w:cs="Times New Roman"/>
                <w:color w:val="auto"/>
                <w:sz w:val="24"/>
                <w:highlight w:val="none"/>
              </w:rPr>
              <w:t>220kV</w:t>
            </w:r>
            <w:r>
              <w:rPr>
                <w:rFonts w:hint="default" w:ascii="Times New Roman" w:hAnsi="Times New Roman" w:eastAsia="宋体" w:cs="Times New Roman"/>
                <w:color w:val="auto"/>
                <w:sz w:val="24"/>
                <w:highlight w:val="none"/>
                <w:lang w:val="en-US" w:eastAsia="zh-CN"/>
              </w:rPr>
              <w:t>升压站主变及其相关设施运行过程产生的工频电场强度及工频磁感应强度。</w:t>
            </w:r>
          </w:p>
          <w:p w14:paraId="4CEAA4EE">
            <w:pPr>
              <w:pStyle w:val="5"/>
              <w:keepNext/>
              <w:keepLines/>
              <w:pageBreakBefore w:val="0"/>
              <w:widowControl w:val="0"/>
              <w:kinsoku/>
              <w:wordWrap/>
              <w:overflowPunct/>
              <w:topLinePunct w:val="0"/>
              <w:autoSpaceDE/>
              <w:autoSpaceDN/>
              <w:bidi w:val="0"/>
              <w:adjustRightInd/>
              <w:snapToGrid/>
              <w:spacing w:before="0" w:after="0" w:line="344"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146" w:name="_Toc29693"/>
            <w:r>
              <w:rPr>
                <w:rFonts w:hint="default" w:ascii="Times New Roman" w:hAnsi="Times New Roman" w:eastAsia="宋体" w:cs="Times New Roman"/>
                <w:color w:val="auto"/>
                <w:sz w:val="24"/>
                <w:szCs w:val="24"/>
                <w:highlight w:val="none"/>
              </w:rPr>
              <w:t>1、</w:t>
            </w:r>
            <w:bookmarkEnd w:id="143"/>
            <w:bookmarkEnd w:id="144"/>
            <w:bookmarkEnd w:id="145"/>
            <w:bookmarkEnd w:id="146"/>
            <w:r>
              <w:rPr>
                <w:rFonts w:hint="default" w:ascii="Times New Roman" w:hAnsi="Times New Roman" w:eastAsia="宋体" w:cs="Times New Roman"/>
                <w:color w:val="auto"/>
                <w:sz w:val="24"/>
                <w:szCs w:val="24"/>
                <w:highlight w:val="none"/>
                <w:lang w:val="en-US" w:eastAsia="zh-CN"/>
              </w:rPr>
              <w:t>评价因子</w:t>
            </w:r>
          </w:p>
          <w:p w14:paraId="67194DFC">
            <w:pPr>
              <w:widowControl/>
              <w:spacing w:line="360" w:lineRule="auto"/>
              <w:ind w:firstLine="480" w:firstLineChars="200"/>
              <w:rPr>
                <w:rFonts w:hint="default" w:ascii="Times New Roman" w:hAnsi="Times New Roman" w:eastAsia="宋体" w:cs="Times New Roman"/>
                <w:color w:val="auto"/>
                <w:sz w:val="24"/>
                <w:highlight w:val="none"/>
              </w:rPr>
            </w:pPr>
            <w:bookmarkStart w:id="147" w:name="_Toc22561"/>
            <w:bookmarkStart w:id="148" w:name="_Toc11155"/>
            <w:bookmarkStart w:id="149" w:name="_Toc17803"/>
            <w:bookmarkStart w:id="150" w:name="_Toc22933"/>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220kV升压站的施工期没有电磁环境影响问题，</w:t>
            </w:r>
            <w:r>
              <w:rPr>
                <w:rFonts w:hint="default" w:ascii="Times New Roman" w:hAnsi="Times New Roman" w:eastAsia="宋体" w:cs="Times New Roman"/>
                <w:color w:val="auto"/>
                <w:sz w:val="24"/>
                <w:highlight w:val="none"/>
                <w:lang w:val="en-US" w:eastAsia="zh-CN"/>
              </w:rPr>
              <w:t>且施工期已结束；</w:t>
            </w:r>
            <w:r>
              <w:rPr>
                <w:rFonts w:hint="default" w:ascii="Times New Roman" w:hAnsi="Times New Roman" w:eastAsia="宋体" w:cs="Times New Roman"/>
                <w:color w:val="auto"/>
                <w:sz w:val="24"/>
                <w:highlight w:val="none"/>
              </w:rPr>
              <w:t>升压站运行期间的工频电场、工频磁场主要产生于主变、各配电装置（220kV、35kV配电装置）及电气设备（电容器组等设备）附近，后会产生电磁污染。因此电磁环境影响评价因子为工频电场、工频磁场。</w:t>
            </w:r>
          </w:p>
          <w:p w14:paraId="36A5D2D4">
            <w:pPr>
              <w:widowControl/>
              <w:spacing w:line="360" w:lineRule="auto"/>
              <w:ind w:firstLine="480" w:firstLineChars="200"/>
              <w:outlineLvl w:val="2"/>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bookmarkEnd w:id="147"/>
            <w:bookmarkEnd w:id="148"/>
            <w:bookmarkEnd w:id="149"/>
            <w:bookmarkEnd w:id="150"/>
            <w:r>
              <w:rPr>
                <w:rFonts w:hint="default" w:ascii="Times New Roman" w:hAnsi="Times New Roman" w:eastAsia="宋体" w:cs="Times New Roman"/>
                <w:b/>
                <w:bCs/>
                <w:color w:val="auto"/>
                <w:sz w:val="24"/>
                <w:szCs w:val="24"/>
                <w:highlight w:val="none"/>
              </w:rPr>
              <w:t>评价范围</w:t>
            </w:r>
          </w:p>
          <w:p w14:paraId="66F02314">
            <w:pPr>
              <w:widowControl/>
              <w:spacing w:line="360" w:lineRule="auto"/>
              <w:ind w:firstLine="480" w:firstLineChars="200"/>
              <w:outlineLvl w:val="2"/>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根据《环境影响评价技术导则 输变电》（HJ24-2020），本工程为220kV交流输变电工程，建设1座220kV升压站。电磁环境评价范围为：升压站围墙外40m范围内。</w:t>
            </w:r>
          </w:p>
          <w:p w14:paraId="077709B1">
            <w:pPr>
              <w:spacing w:line="360" w:lineRule="auto"/>
              <w:ind w:firstLine="480" w:firstLineChars="200"/>
              <w:jc w:val="left"/>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3、评</w:t>
            </w:r>
            <w:r>
              <w:rPr>
                <w:rFonts w:hint="default" w:ascii="Times New Roman" w:hAnsi="Times New Roman" w:eastAsia="宋体" w:cs="Times New Roman"/>
                <w:b/>
                <w:color w:val="auto"/>
                <w:sz w:val="24"/>
                <w:highlight w:val="none"/>
              </w:rPr>
              <w:t>价工作等级</w:t>
            </w:r>
          </w:p>
          <w:p w14:paraId="3A010014">
            <w:pPr>
              <w:widowControl/>
              <w:spacing w:line="360" w:lineRule="auto"/>
              <w:ind w:firstLine="480" w:firstLineChars="200"/>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rPr>
              <w:t>根据《环境影响评价技术导则 输变电》（HJ 24-2020），本项目220kV升压站为全户外升压站，电磁环境评价</w:t>
            </w:r>
            <w:r>
              <w:rPr>
                <w:rFonts w:hint="default" w:ascii="Times New Roman" w:hAnsi="Times New Roman" w:eastAsia="宋体" w:cs="Times New Roman"/>
                <w:color w:val="auto"/>
                <w:sz w:val="24"/>
                <w:highlight w:val="none"/>
                <w:lang w:val="en-US" w:eastAsia="zh-CN"/>
              </w:rPr>
              <w:t>等级</w:t>
            </w:r>
            <w:r>
              <w:rPr>
                <w:rFonts w:hint="default" w:ascii="Times New Roman" w:hAnsi="Times New Roman" w:eastAsia="宋体" w:cs="Times New Roman"/>
                <w:color w:val="auto"/>
                <w:sz w:val="24"/>
                <w:highlight w:val="none"/>
              </w:rPr>
              <w:t>为二级。</w:t>
            </w:r>
          </w:p>
          <w:p w14:paraId="7B12A86D">
            <w:pPr>
              <w:widowControl/>
              <w:spacing w:line="360" w:lineRule="auto"/>
              <w:ind w:firstLine="480" w:firstLineChars="200"/>
              <w:outlineLvl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评价方法</w:t>
            </w:r>
          </w:p>
          <w:p w14:paraId="5C478DF8">
            <w:pPr>
              <w:keepNext w:val="0"/>
              <w:keepLines w:val="0"/>
              <w:pageBreakBefore w:val="0"/>
              <w:widowControl w:val="0"/>
              <w:tabs>
                <w:tab w:val="left" w:pos="3240"/>
              </w:tabs>
              <w:kinsoku/>
              <w:wordWrap/>
              <w:overflowPunct/>
              <w:topLinePunct w:val="0"/>
              <w:autoSpaceDE/>
              <w:autoSpaceDN/>
              <w:bidi w:val="0"/>
              <w:adjustRightInd/>
              <w:snapToGrid/>
              <w:spacing w:line="344"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bidi="ar"/>
              </w:rPr>
              <w:t>本工程220kV升压站电磁环境为二级评价，根据《环境影响评价技术导则 输变电》（HJ24-2020）中二级评价的基本要求：对于变电站、换流站、开关站、串补站，其评价范围内临近各侧站界的电磁环境敏感目标的电磁环境现状应实测，站界电磁环境现状可实测，也可利用已有的最近3年内的电磁环境现状监测资料，并对电磁环境现状进行评价。</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主变容量为1×200MVA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bidi="ar"/>
              </w:rPr>
              <w:t>由于本项目升压站为已建成运营的升压站，</w:t>
            </w:r>
            <w:r>
              <w:rPr>
                <w:rFonts w:hint="default" w:ascii="Times New Roman" w:hAnsi="Times New Roman" w:eastAsia="宋体" w:cs="Times New Roman"/>
                <w:color w:val="auto"/>
                <w:sz w:val="24"/>
                <w:highlight w:val="none"/>
                <w:lang w:bidi="ar"/>
              </w:rPr>
              <w:t>电磁环境影响</w:t>
            </w:r>
            <w:r>
              <w:rPr>
                <w:rFonts w:hint="default" w:ascii="Times New Roman" w:hAnsi="Times New Roman" w:eastAsia="宋体" w:cs="Times New Roman"/>
                <w:color w:val="auto"/>
                <w:sz w:val="24"/>
                <w:highlight w:val="none"/>
                <w:lang w:val="en-US" w:eastAsia="zh-CN" w:bidi="ar"/>
              </w:rPr>
              <w:t>分析</w:t>
            </w:r>
            <w:r>
              <w:rPr>
                <w:rFonts w:hint="default" w:ascii="Times New Roman" w:hAnsi="Times New Roman" w:eastAsia="宋体" w:cs="Times New Roman"/>
                <w:color w:val="auto"/>
                <w:sz w:val="24"/>
                <w:highlight w:val="none"/>
                <w:lang w:bidi="ar"/>
              </w:rPr>
              <w:t>采用</w:t>
            </w:r>
            <w:r>
              <w:rPr>
                <w:rFonts w:hint="default" w:ascii="Times New Roman" w:hAnsi="Times New Roman" w:eastAsia="宋体" w:cs="Times New Roman"/>
                <w:color w:val="auto"/>
                <w:sz w:val="24"/>
                <w:highlight w:val="none"/>
                <w:lang w:val="en-US" w:eastAsia="zh-CN" w:bidi="ar"/>
              </w:rPr>
              <w:t>实测</w:t>
            </w:r>
            <w:r>
              <w:rPr>
                <w:rFonts w:hint="default" w:ascii="Times New Roman" w:hAnsi="Times New Roman" w:eastAsia="宋体" w:cs="Times New Roman"/>
                <w:color w:val="auto"/>
                <w:sz w:val="24"/>
                <w:highlight w:val="none"/>
                <w:lang w:bidi="ar"/>
              </w:rPr>
              <w:t>的方式</w:t>
            </w:r>
            <w:r>
              <w:rPr>
                <w:rFonts w:hint="default" w:ascii="Times New Roman" w:hAnsi="Times New Roman" w:eastAsia="宋体" w:cs="Times New Roman"/>
                <w:color w:val="auto"/>
                <w:sz w:val="24"/>
                <w:highlight w:val="none"/>
              </w:rPr>
              <w:t>，按本期</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规模</w:t>
            </w:r>
            <w:r>
              <w:rPr>
                <w:rFonts w:hint="default" w:ascii="Times New Roman" w:hAnsi="Times New Roman" w:eastAsia="宋体" w:cs="Times New Roman"/>
                <w:color w:val="auto"/>
                <w:sz w:val="24"/>
                <w:highlight w:val="none"/>
                <w:lang w:val="en-US" w:eastAsia="zh-CN"/>
              </w:rPr>
              <w:t>进行</w:t>
            </w:r>
            <w:r>
              <w:rPr>
                <w:rFonts w:hint="default" w:ascii="Times New Roman" w:hAnsi="Times New Roman" w:eastAsia="宋体" w:cs="Times New Roman"/>
                <w:color w:val="auto"/>
                <w:sz w:val="24"/>
                <w:highlight w:val="none"/>
              </w:rPr>
              <w:t>评价。</w:t>
            </w:r>
          </w:p>
          <w:p w14:paraId="7B0A4D8A">
            <w:pPr>
              <w:keepNext w:val="0"/>
              <w:keepLines w:val="0"/>
              <w:pageBreakBefore w:val="0"/>
              <w:widowControl w:val="0"/>
              <w:tabs>
                <w:tab w:val="left" w:pos="3240"/>
              </w:tabs>
              <w:kinsoku/>
              <w:wordWrap/>
              <w:overflowPunct/>
              <w:topLinePunct w:val="0"/>
              <w:autoSpaceDE/>
              <w:autoSpaceDN/>
              <w:bidi w:val="0"/>
              <w:adjustRightInd/>
              <w:snapToGrid/>
              <w:spacing w:line="344"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电磁环境影响</w:t>
            </w:r>
            <w:r>
              <w:rPr>
                <w:rFonts w:hint="default" w:ascii="Times New Roman" w:hAnsi="Times New Roman" w:eastAsia="宋体" w:cs="Times New Roman"/>
                <w:b/>
                <w:bCs/>
                <w:color w:val="auto"/>
                <w:sz w:val="24"/>
                <w:highlight w:val="none"/>
                <w:lang w:val="en-US" w:eastAsia="zh-CN"/>
              </w:rPr>
              <w:t>分析</w:t>
            </w:r>
          </w:p>
          <w:p w14:paraId="06BE032D">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本项目电磁环境影响评价等级为二级，根据《环境影响评价技术导则 输变电》（HJ24-2020）中二级评价的基本要求，</w:t>
            </w:r>
            <w:r>
              <w:rPr>
                <w:rFonts w:hint="default" w:ascii="Times New Roman" w:hAnsi="Times New Roman" w:eastAsia="宋体" w:cs="Times New Roman"/>
                <w:color w:val="auto"/>
                <w:sz w:val="24"/>
                <w:highlight w:val="none"/>
                <w:lang w:val="en-US" w:eastAsia="zh-CN" w:bidi="ar"/>
              </w:rPr>
              <w:t>由于本项目升压站为已建成运营的升压站，</w:t>
            </w:r>
            <w:r>
              <w:rPr>
                <w:rFonts w:hint="default" w:ascii="Times New Roman" w:hAnsi="Times New Roman" w:eastAsia="宋体" w:cs="Times New Roman"/>
                <w:color w:val="auto"/>
                <w:sz w:val="24"/>
                <w:highlight w:val="none"/>
                <w:lang w:bidi="ar"/>
              </w:rPr>
              <w:t>电磁环境影响</w:t>
            </w:r>
            <w:r>
              <w:rPr>
                <w:rFonts w:hint="default" w:ascii="Times New Roman" w:hAnsi="Times New Roman" w:eastAsia="宋体" w:cs="Times New Roman"/>
                <w:color w:val="auto"/>
                <w:sz w:val="24"/>
                <w:highlight w:val="none"/>
                <w:lang w:val="en-US" w:eastAsia="zh-CN" w:bidi="ar"/>
              </w:rPr>
              <w:t>分析</w:t>
            </w:r>
            <w:r>
              <w:rPr>
                <w:rFonts w:hint="default" w:ascii="Times New Roman" w:hAnsi="Times New Roman" w:eastAsia="宋体" w:cs="Times New Roman"/>
                <w:color w:val="auto"/>
                <w:sz w:val="24"/>
                <w:highlight w:val="none"/>
                <w:lang w:bidi="ar"/>
              </w:rPr>
              <w:t>采用</w:t>
            </w:r>
            <w:r>
              <w:rPr>
                <w:rFonts w:hint="default" w:ascii="Times New Roman" w:hAnsi="Times New Roman" w:eastAsia="宋体" w:cs="Times New Roman"/>
                <w:color w:val="auto"/>
                <w:sz w:val="24"/>
                <w:highlight w:val="none"/>
              </w:rPr>
              <w:t>项目电磁环境</w:t>
            </w:r>
            <w:r>
              <w:rPr>
                <w:rFonts w:hint="default" w:ascii="Times New Roman" w:hAnsi="Times New Roman" w:eastAsia="宋体" w:cs="Times New Roman"/>
                <w:color w:val="auto"/>
                <w:sz w:val="24"/>
                <w:highlight w:val="none"/>
                <w:lang w:val="en-US" w:eastAsia="zh-CN"/>
              </w:rPr>
              <w:t>实</w:t>
            </w:r>
            <w:r>
              <w:rPr>
                <w:rFonts w:hint="default" w:ascii="Times New Roman" w:hAnsi="Times New Roman" w:eastAsia="宋体" w:cs="Times New Roman"/>
                <w:color w:val="auto"/>
                <w:sz w:val="24"/>
                <w:highlight w:val="none"/>
              </w:rPr>
              <w:t>测结果进行评价。</w:t>
            </w:r>
          </w:p>
          <w:p w14:paraId="7C45D9D8">
            <w:pPr>
              <w:keepNext w:val="0"/>
              <w:keepLines w:val="0"/>
              <w:pageBreakBefore w:val="0"/>
              <w:widowControl w:val="0"/>
              <w:tabs>
                <w:tab w:val="left" w:pos="3240"/>
              </w:tabs>
              <w:kinsoku/>
              <w:wordWrap/>
              <w:overflowPunct/>
              <w:topLinePunct w:val="0"/>
              <w:autoSpaceDE/>
              <w:autoSpaceDN/>
              <w:bidi w:val="0"/>
              <w:adjustRightInd/>
              <w:snapToGrid/>
              <w:spacing w:line="344"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highlight w:val="none"/>
                <w:lang w:val="en-US" w:eastAsia="zh-CN"/>
              </w:rPr>
              <w:t>本项目电磁环境影响评价</w:t>
            </w:r>
            <w:r>
              <w:rPr>
                <w:rFonts w:hint="default" w:ascii="Times New Roman" w:hAnsi="Times New Roman" w:eastAsia="宋体" w:cs="Times New Roman"/>
                <w:color w:val="auto"/>
                <w:sz w:val="24"/>
                <w:highlight w:val="none"/>
              </w:rPr>
              <w:t>详见</w:t>
            </w:r>
            <w:r>
              <w:rPr>
                <w:rFonts w:hint="default" w:ascii="Times New Roman" w:hAnsi="Times New Roman" w:eastAsia="宋体" w:cs="Times New Roman"/>
                <w:color w:val="auto"/>
                <w:sz w:val="24"/>
                <w:szCs w:val="22"/>
                <w:highlight w:val="none"/>
              </w:rPr>
              <w:t>《</w:t>
            </w:r>
            <w:r>
              <w:rPr>
                <w:rFonts w:hint="eastAsia" w:cs="Times New Roman"/>
                <w:snapToGrid w:val="0"/>
                <w:color w:val="auto"/>
                <w:kern w:val="0"/>
                <w:sz w:val="24"/>
                <w:szCs w:val="30"/>
                <w:highlight w:val="none"/>
                <w:lang w:eastAsia="zh-CN"/>
              </w:rPr>
              <w:t>岩子头生态修复光伏电站220kV升压站</w:t>
            </w:r>
            <w:r>
              <w:rPr>
                <w:rFonts w:hint="default" w:ascii="Times New Roman" w:hAnsi="Times New Roman" w:eastAsia="宋体" w:cs="Times New Roman"/>
                <w:color w:val="auto"/>
                <w:sz w:val="24"/>
                <w:szCs w:val="22"/>
                <w:highlight w:val="none"/>
              </w:rPr>
              <w:t>电磁环境影响专题评价报告》，此处仅列出</w:t>
            </w:r>
            <w:r>
              <w:rPr>
                <w:rFonts w:hint="default" w:ascii="Times New Roman" w:hAnsi="Times New Roman" w:eastAsia="宋体" w:cs="Times New Roman"/>
                <w:color w:val="auto"/>
                <w:sz w:val="24"/>
                <w:szCs w:val="22"/>
                <w:highlight w:val="none"/>
                <w:lang w:val="en-US" w:eastAsia="zh-CN"/>
              </w:rPr>
              <w:t>评价</w:t>
            </w:r>
            <w:r>
              <w:rPr>
                <w:rFonts w:hint="default" w:ascii="Times New Roman" w:hAnsi="Times New Roman" w:eastAsia="宋体" w:cs="Times New Roman"/>
                <w:color w:val="auto"/>
                <w:sz w:val="24"/>
                <w:szCs w:val="22"/>
                <w:highlight w:val="none"/>
              </w:rPr>
              <w:t>分析结果</w:t>
            </w:r>
            <w:r>
              <w:rPr>
                <w:rFonts w:hint="default" w:ascii="Times New Roman" w:hAnsi="Times New Roman" w:eastAsia="宋体" w:cs="Times New Roman"/>
                <w:color w:val="auto"/>
                <w:sz w:val="24"/>
                <w:highlight w:val="none"/>
              </w:rPr>
              <w:t>：</w:t>
            </w:r>
          </w:p>
          <w:p w14:paraId="11CEDCFF">
            <w:pPr>
              <w:spacing w:line="360" w:lineRule="auto"/>
              <w:ind w:firstLine="352" w:firstLineChars="147"/>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①监测点位布设</w:t>
            </w:r>
          </w:p>
          <w:p w14:paraId="31FD8E98">
            <w:pPr>
              <w:spacing w:line="360" w:lineRule="auto"/>
              <w:ind w:firstLine="352" w:firstLineChars="14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本次环评在进行现场调查期间，评价人员根据</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20kV升压站布置方式、外环境关系和周围居民分布情况确立了具体的电磁环境监测点位。</w:t>
            </w:r>
          </w:p>
          <w:p w14:paraId="7B86E674">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根据现场踏勘，本项目220kV升压站</w:t>
            </w:r>
            <w:r>
              <w:rPr>
                <w:rFonts w:hint="default" w:ascii="Times New Roman" w:hAnsi="Times New Roman" w:eastAsia="宋体" w:cs="Times New Roman"/>
                <w:color w:val="auto"/>
                <w:kern w:val="0"/>
                <w:sz w:val="24"/>
                <w:highlight w:val="none"/>
                <w:lang w:val="en-US" w:eastAsia="zh-CN"/>
              </w:rPr>
              <w:t>电磁环境评价范围内</w:t>
            </w:r>
            <w:r>
              <w:rPr>
                <w:rFonts w:hint="default" w:ascii="Times New Roman" w:hAnsi="Times New Roman" w:eastAsia="宋体" w:cs="Times New Roman"/>
                <w:color w:val="auto"/>
                <w:kern w:val="0"/>
                <w:sz w:val="24"/>
                <w:highlight w:val="none"/>
              </w:rPr>
              <w:t>不涉及</w:t>
            </w:r>
            <w:r>
              <w:rPr>
                <w:rFonts w:hint="default" w:ascii="Times New Roman" w:hAnsi="Times New Roman" w:eastAsia="宋体" w:cs="Times New Roman"/>
                <w:color w:val="auto"/>
                <w:kern w:val="0"/>
                <w:sz w:val="24"/>
                <w:highlight w:val="none"/>
                <w:lang w:val="en-US" w:eastAsia="zh-CN"/>
              </w:rPr>
              <w:t>电磁</w:t>
            </w:r>
            <w:r>
              <w:rPr>
                <w:rFonts w:hint="default" w:ascii="Times New Roman" w:hAnsi="Times New Roman" w:eastAsia="宋体" w:cs="Times New Roman"/>
                <w:color w:val="auto"/>
                <w:sz w:val="24"/>
                <w:highlight w:val="none"/>
              </w:rPr>
              <w:t>环境敏感目标，本次监测在220kV升压站站址</w:t>
            </w:r>
            <w:r>
              <w:rPr>
                <w:rFonts w:hint="default" w:ascii="Times New Roman" w:hAnsi="Times New Roman" w:eastAsia="宋体" w:cs="Times New Roman"/>
                <w:color w:val="auto"/>
                <w:sz w:val="24"/>
                <w:highlight w:val="none"/>
                <w:lang w:val="en-US" w:eastAsia="zh-CN"/>
              </w:rPr>
              <w:t>东、南、西、北</w:t>
            </w:r>
            <w:r>
              <w:rPr>
                <w:rFonts w:hint="default" w:ascii="Times New Roman" w:hAnsi="Times New Roman" w:eastAsia="宋体" w:cs="Times New Roman"/>
                <w:color w:val="auto"/>
                <w:sz w:val="24"/>
                <w:highlight w:val="none"/>
              </w:rPr>
              <w:t>四周进行了电磁环境监测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同时由于站址北侧、东侧、南侧均为林地，本次于</w:t>
            </w:r>
            <w:r>
              <w:rPr>
                <w:rFonts w:hint="default" w:ascii="Times New Roman" w:hAnsi="Times New Roman" w:eastAsia="宋体" w:cs="Times New Roman"/>
                <w:color w:val="auto"/>
                <w:sz w:val="24"/>
                <w:szCs w:val="24"/>
                <w:highlight w:val="none"/>
                <w:lang w:val="en-US" w:eastAsia="zh-CN"/>
              </w:rPr>
              <w:t>站址西南侧围墙外（即进站道路侧）设置了1个断面监测点</w:t>
            </w:r>
            <w:r>
              <w:rPr>
                <w:rFonts w:hint="default" w:ascii="Times New Roman" w:hAnsi="Times New Roman" w:eastAsia="宋体" w:cs="Times New Roman"/>
                <w:color w:val="auto"/>
                <w:sz w:val="24"/>
                <w:highlight w:val="none"/>
              </w:rPr>
              <w:t>。监测内容包括工频电场强度、工频磁感应强度。监测点位置</w:t>
            </w:r>
            <w:r>
              <w:rPr>
                <w:rFonts w:hint="default" w:ascii="Times New Roman" w:hAnsi="Times New Roman" w:eastAsia="宋体" w:cs="Times New Roman"/>
                <w:color w:val="auto"/>
                <w:sz w:val="24"/>
                <w:highlight w:val="none"/>
                <w:lang w:val="en-US" w:eastAsia="zh-CN"/>
              </w:rPr>
              <w:t>详见</w:t>
            </w: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18DB6774">
            <w:pPr>
              <w:pStyle w:val="314"/>
              <w:keepNext w:val="0"/>
              <w:keepLines w:val="0"/>
              <w:pageBreakBefore w:val="0"/>
              <w:widowControl w:val="0"/>
              <w:kinsoku/>
              <w:wordWrap/>
              <w:topLinePunct w:val="0"/>
              <w:autoSpaceDE/>
              <w:autoSpaceDN/>
              <w:bidi w:val="0"/>
              <w:adjustRightInd/>
              <w:snapToGrid/>
              <w:spacing w:before="0" w:after="0" w:line="344"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本次电磁环境监测期间，升压站为正常运行工况，通过各监测点位的布设，监测数据能够反映本项目220kV升压站运营期周围电磁环境影响情况，监测点位布设合理。</w:t>
            </w:r>
          </w:p>
          <w:p w14:paraId="41B679C8">
            <w:pPr>
              <w:pStyle w:val="314"/>
              <w:keepNext w:val="0"/>
              <w:keepLines w:val="0"/>
              <w:pageBreakBefore w:val="0"/>
              <w:widowControl w:val="0"/>
              <w:numPr>
                <w:ilvl w:val="0"/>
                <w:numId w:val="0"/>
              </w:numPr>
              <w:kinsoku/>
              <w:wordWrap/>
              <w:topLinePunct w:val="0"/>
              <w:autoSpaceDE/>
              <w:autoSpaceDN/>
              <w:bidi w:val="0"/>
              <w:adjustRightInd/>
              <w:snapToGrid/>
              <w:spacing w:before="0" w:after="0" w:line="344" w:lineRule="auto"/>
              <w:ind w:left="420" w:leftChars="0"/>
              <w:rPr>
                <w:rFonts w:hint="default" w:ascii="Times New Roman" w:hAnsi="Times New Roman" w:eastAsia="宋体" w:cs="Times New Roman"/>
                <w:b/>
                <w:color w:val="auto"/>
                <w:sz w:val="24"/>
                <w:szCs w:val="24"/>
                <w:highlight w:val="none"/>
                <w:lang w:val="en-US" w:eastAsia="zh-CN"/>
              </w:rPr>
            </w:pPr>
            <w:bookmarkStart w:id="151" w:name="_Toc9818"/>
            <w:bookmarkStart w:id="152" w:name="_Toc20435"/>
            <w:r>
              <w:rPr>
                <w:rFonts w:hint="default" w:ascii="Times New Roman" w:hAnsi="Times New Roman" w:eastAsia="宋体" w:cs="Times New Roman"/>
                <w:b/>
                <w:color w:val="auto"/>
                <w:sz w:val="24"/>
                <w:szCs w:val="24"/>
                <w:highlight w:val="none"/>
                <w:lang w:val="en-US" w:eastAsia="zh-CN"/>
              </w:rPr>
              <w:t>②电磁环境监测结果分析</w:t>
            </w:r>
          </w:p>
          <w:p w14:paraId="7EE26120">
            <w:pPr>
              <w:pStyle w:val="314"/>
              <w:keepNext w:val="0"/>
              <w:keepLines w:val="0"/>
              <w:pageBreakBefore w:val="0"/>
              <w:widowControl w:val="0"/>
              <w:kinsoku/>
              <w:wordWrap/>
              <w:topLinePunct w:val="0"/>
              <w:autoSpaceDE/>
              <w:autoSpaceDN/>
              <w:bidi w:val="0"/>
              <w:adjustRightInd/>
              <w:snapToGrid/>
              <w:spacing w:before="0" w:after="0" w:line="344"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eastAsia="宋体" w:cs="Times New Roman"/>
                <w:color w:val="auto"/>
                <w:kern w:val="2"/>
                <w:sz w:val="24"/>
                <w:szCs w:val="24"/>
                <w:highlight w:val="none"/>
                <w:lang w:val="en-US" w:eastAsia="zh-CN" w:bidi="ar-SA"/>
              </w:rPr>
              <w:t>岩子头生态修复光伏电站220kV升压站</w:t>
            </w:r>
            <w:r>
              <w:rPr>
                <w:rFonts w:hint="default" w:ascii="Times New Roman" w:hAnsi="Times New Roman" w:eastAsia="宋体" w:cs="Times New Roman"/>
                <w:color w:val="auto"/>
                <w:kern w:val="2"/>
                <w:sz w:val="24"/>
                <w:szCs w:val="24"/>
                <w:highlight w:val="none"/>
                <w:lang w:val="en-US" w:eastAsia="zh-CN" w:bidi="ar-SA"/>
              </w:rPr>
              <w:t>电磁环境影响专题评价报告》，本项目220kV升压站站址四周的工频电场强度在8.994~3544.4V/m之间，工频磁感应强度在0.0887~0.1758μT之间；本项目220kV升压站站址场界衰减断面监测结果测得的工频电场强度在3.990~15.21V/m之间，工频磁感应强度在0.0913~0.0954μT之间；工频电场强度、工频磁感应强度均满足《电磁环境控制限值》（GB 8702-2014）中评价标准4000V/m、100μT的限值要求。</w:t>
            </w:r>
          </w:p>
          <w:bookmarkEnd w:id="151"/>
          <w:bookmarkEnd w:id="152"/>
          <w:p w14:paraId="10FAEA97">
            <w:pPr>
              <w:pStyle w:val="314"/>
              <w:pageBreakBefore w:val="0"/>
              <w:widowControl w:val="0"/>
              <w:kinsoku/>
              <w:wordWrap/>
              <w:topLinePunct w:val="0"/>
              <w:autoSpaceDE/>
              <w:autoSpaceDN/>
              <w:bidi w:val="0"/>
              <w:adjustRightInd/>
              <w:snapToGrid/>
              <w:spacing w:before="20" w:after="20" w:line="344" w:lineRule="auto"/>
              <w:ind w:firstLine="480" w:firstLineChars="200"/>
              <w:rPr>
                <w:rFonts w:hint="default" w:ascii="Times New Roman" w:hAnsi="Times New Roman" w:eastAsia="宋体" w:cs="Times New Roman"/>
                <w:b/>
                <w:bCs/>
                <w:color w:val="auto"/>
                <w:sz w:val="24"/>
                <w:szCs w:val="24"/>
                <w:highlight w:val="none"/>
                <w:lang w:val="en-US" w:eastAsia="zh-CN"/>
              </w:rPr>
            </w:pPr>
            <w:bookmarkStart w:id="153" w:name="_Toc24622"/>
            <w:bookmarkStart w:id="154" w:name="_Toc13346"/>
            <w:r>
              <w:rPr>
                <w:rFonts w:hint="default" w:ascii="Times New Roman" w:hAnsi="Times New Roman" w:eastAsia="宋体" w:cs="Times New Roman"/>
                <w:b/>
                <w:bCs/>
                <w:color w:val="auto"/>
                <w:sz w:val="24"/>
                <w:szCs w:val="24"/>
                <w:highlight w:val="none"/>
                <w:lang w:val="en-US" w:eastAsia="zh-CN"/>
              </w:rPr>
              <w:t>6、电磁环境保护措施</w:t>
            </w:r>
            <w:bookmarkEnd w:id="153"/>
            <w:bookmarkEnd w:id="154"/>
          </w:p>
          <w:p w14:paraId="76680395">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r>
              <w:rPr>
                <w:rFonts w:hint="default" w:ascii="Times New Roman" w:hAnsi="Times New Roman" w:eastAsia="宋体" w:cs="Times New Roman"/>
                <w:bCs/>
                <w:color w:val="auto"/>
                <w:sz w:val="24"/>
                <w:highlight w:val="none"/>
              </w:rPr>
              <w:t>（1）</w:t>
            </w:r>
            <w:r>
              <w:rPr>
                <w:rFonts w:hint="default" w:ascii="Times New Roman" w:hAnsi="Times New Roman" w:eastAsia="宋体" w:cs="Times New Roman"/>
                <w:bCs/>
                <w:color w:val="auto"/>
                <w:kern w:val="0"/>
                <w:sz w:val="24"/>
                <w:highlight w:val="none"/>
                <w:lang w:bidi="ar"/>
              </w:rPr>
              <w:t>升压站内电气设备采取集中布置方式，采取控制过电压、电磁感应场强水平的措施，如保证导体和电气设备之间的电气安全距离，选用具有低辐射、抗干扰能力的设备。</w:t>
            </w:r>
          </w:p>
          <w:p w14:paraId="1C901FCA">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r>
              <w:rPr>
                <w:rFonts w:hint="default" w:ascii="Times New Roman" w:hAnsi="Times New Roman" w:eastAsia="宋体" w:cs="Times New Roman"/>
                <w:bCs/>
                <w:color w:val="auto"/>
                <w:sz w:val="24"/>
                <w:highlight w:val="none"/>
              </w:rPr>
              <w:t>（2）</w:t>
            </w:r>
            <w:r>
              <w:rPr>
                <w:rFonts w:hint="default" w:ascii="Times New Roman" w:hAnsi="Times New Roman" w:eastAsia="宋体" w:cs="Times New Roman"/>
                <w:bCs/>
                <w:color w:val="auto"/>
                <w:kern w:val="0"/>
                <w:sz w:val="24"/>
                <w:highlight w:val="none"/>
                <w:lang w:bidi="ar"/>
              </w:rPr>
              <w:t>合理选用各种电气设备及金属配件（如保护环、垫片、接头等），以减少高电位梯度点引起的放电。</w:t>
            </w:r>
          </w:p>
          <w:p w14:paraId="3A951583">
            <w:pPr>
              <w:keepNext w:val="0"/>
              <w:keepLines w:val="0"/>
              <w:pageBreakBefore w:val="0"/>
              <w:widowControl w:val="0"/>
              <w:numPr>
                <w:ilvl w:val="0"/>
                <w:numId w:val="0"/>
              </w:numPr>
              <w:kinsoku/>
              <w:wordWrap/>
              <w:overflowPunct/>
              <w:topLinePunct w:val="0"/>
              <w:autoSpaceDE/>
              <w:autoSpaceDN/>
              <w:bidi w:val="0"/>
              <w:adjustRightInd/>
              <w:snapToGrid/>
              <w:spacing w:line="344"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在</w:t>
            </w:r>
            <w:r>
              <w:rPr>
                <w:rFonts w:hint="default" w:ascii="Times New Roman" w:hAnsi="Times New Roman" w:eastAsia="宋体" w:cs="Times New Roman"/>
                <w:bCs/>
                <w:color w:val="auto"/>
                <w:sz w:val="24"/>
                <w:highlight w:val="none"/>
                <w:lang w:val="en-US" w:eastAsia="zh-CN"/>
              </w:rPr>
              <w:t>变电站</w:t>
            </w:r>
            <w:r>
              <w:rPr>
                <w:rFonts w:hint="default" w:ascii="Times New Roman" w:hAnsi="Times New Roman" w:eastAsia="宋体" w:cs="Times New Roman"/>
                <w:bCs/>
                <w:color w:val="auto"/>
                <w:sz w:val="24"/>
                <w:highlight w:val="none"/>
              </w:rPr>
              <w:t>站址周围粘贴、悬挂各种警告、防护标识，避免意外事故。对当地群众进行有关高压设备方面的环境宣传工作，帮助群众建立环境保护意识和自我防护意识，减少在高压走廊内的停留时间</w:t>
            </w:r>
            <w:r>
              <w:rPr>
                <w:rFonts w:hint="default" w:ascii="Times New Roman" w:hAnsi="Times New Roman" w:eastAsia="宋体" w:cs="Times New Roman"/>
                <w:color w:val="auto"/>
                <w:kern w:val="2"/>
                <w:sz w:val="24"/>
                <w:szCs w:val="24"/>
                <w:highlight w:val="none"/>
                <w:lang w:val="en-US" w:eastAsia="zh-CN" w:bidi="ar-SA"/>
              </w:rPr>
              <w:t>。</w:t>
            </w:r>
          </w:p>
          <w:p w14:paraId="19C3BDE6">
            <w:pPr>
              <w:pStyle w:val="4"/>
              <w:pageBreakBefore w:val="0"/>
              <w:widowControl w:val="0"/>
              <w:kinsoku/>
              <w:wordWrap/>
              <w:overflowPunct/>
              <w:topLinePunct w:val="0"/>
              <w:autoSpaceDE/>
              <w:autoSpaceDN/>
              <w:bidi w:val="0"/>
              <w:adjustRightInd/>
              <w:snapToGrid/>
              <w:spacing w:before="0" w:after="0" w:line="344"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w:t>
            </w:r>
            <w:bookmarkStart w:id="155" w:name="_Toc32486"/>
            <w:bookmarkStart w:id="156" w:name="_Toc32668"/>
            <w:r>
              <w:rPr>
                <w:rFonts w:hint="default" w:ascii="Times New Roman" w:hAnsi="Times New Roman" w:eastAsia="宋体" w:cs="Times New Roman"/>
                <w:color w:val="auto"/>
                <w:sz w:val="24"/>
                <w:szCs w:val="24"/>
                <w:highlight w:val="none"/>
                <w:lang w:val="en-US" w:eastAsia="zh-CN"/>
              </w:rPr>
              <w:t>7、电磁环境影响评价结论</w:t>
            </w:r>
            <w:bookmarkEnd w:id="155"/>
            <w:bookmarkEnd w:id="156"/>
          </w:p>
          <w:p w14:paraId="2CF71E07">
            <w:pPr>
              <w:spacing w:line="360" w:lineRule="auto"/>
              <w:ind w:right="21" w:rightChars="10" w:firstLine="480"/>
              <w:rPr>
                <w:rFonts w:hint="default" w:ascii="Times New Roman" w:hAnsi="Times New Roman" w:eastAsia="宋体" w:cs="Times New Roman"/>
                <w:color w:val="auto"/>
                <w:sz w:val="24"/>
                <w:highlight w:val="none"/>
              </w:rPr>
            </w:pPr>
            <w:bookmarkStart w:id="157" w:name="_Toc16107"/>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主变容量为1×200MVA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本次按本期已建规模进行评价</w:t>
            </w:r>
            <w:r>
              <w:rPr>
                <w:rFonts w:hint="default" w:ascii="Times New Roman" w:hAnsi="Times New Roman" w:eastAsia="宋体" w:cs="Times New Roman"/>
                <w:color w:val="auto"/>
                <w:sz w:val="24"/>
                <w:highlight w:val="none"/>
              </w:rPr>
              <w:t>。</w:t>
            </w:r>
          </w:p>
          <w:p w14:paraId="67B258E7">
            <w:pPr>
              <w:spacing w:line="360" w:lineRule="auto"/>
              <w:ind w:right="21" w:rightChars="1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实测分析，</w:t>
            </w:r>
            <w:r>
              <w:rPr>
                <w:rFonts w:hint="default" w:ascii="Times New Roman" w:hAnsi="Times New Roman" w:eastAsia="宋体" w:cs="Times New Roman"/>
                <w:color w:val="auto"/>
                <w:sz w:val="24"/>
                <w:highlight w:val="none"/>
              </w:rPr>
              <w:t>本项目220kV升压站运行后，其产生的工频电场强度、工频磁感应强度能满足《电磁环境控制限值》（GB 8702-2014）</w:t>
            </w:r>
            <w:r>
              <w:rPr>
                <w:rFonts w:hint="default" w:ascii="Times New Roman" w:hAnsi="Times New Roman" w:eastAsia="宋体" w:cs="Times New Roman"/>
                <w:color w:val="auto"/>
                <w:sz w:val="24"/>
                <w:highlight w:val="none"/>
                <w:lang w:val="en-US" w:eastAsia="zh-CN"/>
              </w:rPr>
              <w:t>相关</w:t>
            </w:r>
            <w:r>
              <w:rPr>
                <w:rFonts w:hint="default" w:ascii="Times New Roman" w:hAnsi="Times New Roman" w:eastAsia="宋体" w:cs="Times New Roman"/>
                <w:color w:val="auto"/>
                <w:sz w:val="24"/>
                <w:highlight w:val="none"/>
              </w:rPr>
              <w:t>规定要求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即</w:t>
            </w:r>
            <w:r>
              <w:rPr>
                <w:rFonts w:hint="default" w:ascii="Times New Roman" w:hAnsi="Times New Roman" w:eastAsia="宋体" w:cs="Times New Roman"/>
                <w:color w:val="auto"/>
                <w:sz w:val="24"/>
                <w:highlight w:val="none"/>
              </w:rPr>
              <w:t>工频电场强度监测值</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小于4000V/m，工频磁感应强度监测值</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小于100μT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均可达标排放，</w:t>
            </w:r>
            <w:r>
              <w:rPr>
                <w:rFonts w:hint="default" w:ascii="Times New Roman" w:hAnsi="Times New Roman" w:eastAsia="宋体" w:cs="Times New Roman"/>
                <w:color w:val="auto"/>
                <w:sz w:val="24"/>
                <w:highlight w:val="none"/>
              </w:rPr>
              <w:t>对周边电磁环境影响较小。</w:t>
            </w:r>
          </w:p>
          <w:p w14:paraId="25213F1E">
            <w:pPr>
              <w:pageBreakBefore w:val="0"/>
              <w:widowControl w:val="0"/>
              <w:numPr>
                <w:ilvl w:val="0"/>
                <w:numId w:val="0"/>
              </w:numPr>
              <w:kinsoku/>
              <w:wordWrap/>
              <w:topLinePunct w:val="0"/>
              <w:autoSpaceDE/>
              <w:autoSpaceDN/>
              <w:bidi w:val="0"/>
              <w:adjustRightInd/>
              <w:snapToGrid/>
              <w:spacing w:line="344"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根据现场踏勘，本项目距离附近居民点较远，</w:t>
            </w:r>
            <w:r>
              <w:rPr>
                <w:rFonts w:hint="default" w:ascii="Times New Roman" w:hAnsi="Times New Roman" w:eastAsia="宋体" w:cs="Times New Roman"/>
                <w:color w:val="auto"/>
                <w:sz w:val="24"/>
                <w:highlight w:val="none"/>
                <w:lang w:val="en-US" w:eastAsia="zh-CN"/>
              </w:rPr>
              <w:t>本次电磁环境评价范围内无电磁环境敏感目标，</w:t>
            </w:r>
            <w:r>
              <w:rPr>
                <w:rFonts w:hint="default" w:ascii="Times New Roman" w:hAnsi="Times New Roman" w:eastAsia="宋体" w:cs="Times New Roman"/>
                <w:color w:val="auto"/>
                <w:sz w:val="24"/>
                <w:highlight w:val="none"/>
              </w:rPr>
              <w:t>工频电场强度和工频磁感应强度随距离衰减后，对附近</w:t>
            </w:r>
            <w:r>
              <w:rPr>
                <w:rFonts w:hint="default" w:ascii="Times New Roman" w:hAnsi="Times New Roman" w:eastAsia="宋体" w:cs="Times New Roman"/>
                <w:color w:val="auto"/>
                <w:sz w:val="24"/>
                <w:highlight w:val="none"/>
                <w:lang w:val="en-US" w:eastAsia="zh-CN"/>
              </w:rPr>
              <w:t>居民</w:t>
            </w:r>
            <w:r>
              <w:rPr>
                <w:rFonts w:hint="default" w:ascii="Times New Roman" w:hAnsi="Times New Roman" w:eastAsia="宋体" w:cs="Times New Roman"/>
                <w:color w:val="auto"/>
                <w:sz w:val="24"/>
                <w:highlight w:val="none"/>
              </w:rPr>
              <w:t>的影响较小。</w:t>
            </w:r>
          </w:p>
          <w:p w14:paraId="4801030E">
            <w:pPr>
              <w:pStyle w:val="4"/>
              <w:pageBreakBefore w:val="0"/>
              <w:widowControl w:val="0"/>
              <w:kinsoku/>
              <w:wordWrap/>
              <w:overflowPunct/>
              <w:topLinePunct w:val="0"/>
              <w:autoSpaceDE/>
              <w:autoSpaceDN/>
              <w:bidi w:val="0"/>
              <w:adjustRightInd/>
              <w:snapToGrid/>
              <w:spacing w:before="0" w:after="0" w:line="344"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158" w:name="_Toc16337"/>
            <w:r>
              <w:rPr>
                <w:rFonts w:hint="default" w:ascii="Times New Roman" w:hAnsi="Times New Roman" w:eastAsia="宋体" w:cs="Times New Roman"/>
                <w:b w:val="0"/>
                <w:bCs w:val="0"/>
                <w:color w:val="auto"/>
                <w:kern w:val="2"/>
                <w:sz w:val="24"/>
                <w:szCs w:val="24"/>
                <w:highlight w:val="none"/>
                <w:lang w:val="en-US" w:eastAsia="zh-CN" w:bidi="ar-SA"/>
              </w:rPr>
              <w:t>经综合分析，工程运行期间电磁环境影响较小，满足相关限值要求。</w:t>
            </w:r>
            <w:bookmarkEnd w:id="157"/>
            <w:bookmarkEnd w:id="158"/>
          </w:p>
          <w:p w14:paraId="4548D18C">
            <w:pPr>
              <w:pStyle w:val="4"/>
              <w:pageBreakBefore w:val="0"/>
              <w:widowControl w:val="0"/>
              <w:kinsoku/>
              <w:wordWrap/>
              <w:overflowPunct/>
              <w:topLinePunct w:val="0"/>
              <w:autoSpaceDE/>
              <w:autoSpaceDN/>
              <w:bidi w:val="0"/>
              <w:adjustRightInd/>
              <w:snapToGrid/>
              <w:spacing w:before="0" w:after="0" w:line="344" w:lineRule="auto"/>
              <w:ind w:firstLine="240" w:firstLineChars="1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 </w:t>
            </w:r>
            <w:bookmarkStart w:id="159" w:name="_Toc24779"/>
            <w:bookmarkStart w:id="160" w:name="_Toc4917"/>
            <w:bookmarkStart w:id="161" w:name="_Toc15092"/>
            <w:bookmarkStart w:id="162" w:name="_Toc2897"/>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运行期噪声影响分析</w:t>
            </w:r>
            <w:bookmarkEnd w:id="142"/>
            <w:bookmarkEnd w:id="159"/>
            <w:bookmarkEnd w:id="160"/>
            <w:bookmarkEnd w:id="161"/>
            <w:bookmarkEnd w:id="162"/>
          </w:p>
          <w:p w14:paraId="11052BB8">
            <w:pPr>
              <w:pStyle w:val="5"/>
              <w:pageBreakBefore w:val="0"/>
              <w:widowControl w:val="0"/>
              <w:kinsoku/>
              <w:wordWrap/>
              <w:overflowPunct/>
              <w:topLinePunct w:val="0"/>
              <w:autoSpaceDE/>
              <w:autoSpaceDN/>
              <w:bidi w:val="0"/>
              <w:adjustRightInd/>
              <w:snapToGrid/>
              <w:spacing w:before="0" w:after="0" w:line="344"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bookmarkStart w:id="163" w:name="_Toc25055"/>
            <w:bookmarkStart w:id="164" w:name="_Toc31592"/>
            <w:bookmarkStart w:id="165" w:name="_Toc4473"/>
            <w:bookmarkStart w:id="166" w:name="_Toc5690"/>
            <w:r>
              <w:rPr>
                <w:rFonts w:hint="default" w:ascii="Times New Roman" w:hAnsi="Times New Roman" w:eastAsia="宋体" w:cs="Times New Roman"/>
                <w:b w:val="0"/>
                <w:bCs w:val="0"/>
                <w:color w:val="auto"/>
                <w:sz w:val="24"/>
                <w:szCs w:val="24"/>
                <w:highlight w:val="none"/>
                <w:lang w:val="en-US" w:eastAsia="zh-CN"/>
              </w:rPr>
              <w:t>根据已批复的</w:t>
            </w:r>
            <w:r>
              <w:rPr>
                <w:rFonts w:hint="default" w:ascii="Times New Roman" w:hAnsi="Times New Roman" w:eastAsia="宋体" w:cs="Times New Roman"/>
                <w:b w:val="0"/>
                <w:bCs w:val="0"/>
                <w:color w:val="auto"/>
                <w:sz w:val="24"/>
                <w:szCs w:val="22"/>
                <w:highlight w:val="none"/>
              </w:rPr>
              <w:t>《</w:t>
            </w:r>
            <w:r>
              <w:rPr>
                <w:rFonts w:hint="default" w:ascii="Times New Roman" w:hAnsi="Times New Roman" w:eastAsia="宋体" w:cs="Times New Roman"/>
                <w:b w:val="0"/>
                <w:bCs w:val="0"/>
                <w:color w:val="auto"/>
                <w:sz w:val="24"/>
                <w:szCs w:val="24"/>
                <w:highlight w:val="none"/>
                <w:lang w:eastAsia="zh-CN"/>
              </w:rPr>
              <w:t>中清能禄劝县岩子头200MW生态修复光伏电站项目</w:t>
            </w:r>
            <w:r>
              <w:rPr>
                <w:rFonts w:hint="default" w:ascii="Times New Roman" w:hAnsi="Times New Roman" w:eastAsia="宋体" w:cs="Times New Roman"/>
                <w:b w:val="0"/>
                <w:bCs w:val="0"/>
                <w:color w:val="auto"/>
                <w:sz w:val="24"/>
                <w:szCs w:val="22"/>
                <w:highlight w:val="none"/>
              </w:rPr>
              <w:t>环境影响报告表》</w:t>
            </w:r>
            <w:r>
              <w:rPr>
                <w:rFonts w:hint="default" w:ascii="Times New Roman" w:hAnsi="Times New Roman" w:eastAsia="宋体" w:cs="Times New Roman"/>
                <w:b w:val="0"/>
                <w:bCs w:val="0"/>
                <w:color w:val="auto"/>
                <w:sz w:val="24"/>
                <w:szCs w:val="22"/>
                <w:highlight w:val="none"/>
                <w:lang w:eastAsia="zh-CN"/>
              </w:rPr>
              <w:t>，</w:t>
            </w:r>
            <w:r>
              <w:rPr>
                <w:rFonts w:hint="default" w:ascii="Times New Roman" w:hAnsi="Times New Roman" w:eastAsia="宋体" w:cs="Times New Roman"/>
                <w:b w:val="0"/>
                <w:bCs w:val="0"/>
                <w:color w:val="auto"/>
                <w:sz w:val="24"/>
                <w:szCs w:val="22"/>
                <w:highlight w:val="none"/>
                <w:lang w:val="en-US" w:eastAsia="zh-CN"/>
              </w:rPr>
              <w:t>该报告表中已对升压站运行过程产生的噪声进行影响分析，由于本次环评期间对升压站正常运行状况下进行了噪声监测，因此本次升压站噪声根据监测结果简单进行达标影响分析。</w:t>
            </w:r>
            <w:bookmarkEnd w:id="163"/>
          </w:p>
          <w:bookmarkEnd w:id="164"/>
          <w:bookmarkEnd w:id="165"/>
          <w:bookmarkEnd w:id="166"/>
          <w:p w14:paraId="53255A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bookmarkStart w:id="167" w:name="_Toc29810"/>
            <w:bookmarkStart w:id="168" w:name="_Toc16155"/>
            <w:bookmarkStart w:id="169" w:name="_Toc17486"/>
            <w:bookmarkStart w:id="170" w:name="_Toc24851"/>
            <w:r>
              <w:rPr>
                <w:rFonts w:hint="default" w:ascii="Times New Roman" w:hAnsi="Times New Roman" w:eastAsia="宋体" w:cs="Times New Roman"/>
                <w:color w:val="auto"/>
                <w:sz w:val="24"/>
                <w:szCs w:val="22"/>
                <w:highlight w:val="none"/>
                <w:lang w:val="en-US" w:eastAsia="zh-CN"/>
              </w:rPr>
              <w:t>本次环境影响评价期间，建设单位于</w:t>
            </w:r>
            <w:r>
              <w:rPr>
                <w:rFonts w:hint="default" w:ascii="Times New Roman" w:hAnsi="Times New Roman" w:eastAsia="宋体" w:cs="Times New Roman"/>
                <w:color w:val="auto"/>
                <w:sz w:val="24"/>
                <w:szCs w:val="24"/>
                <w:highlight w:val="none"/>
                <w:lang w:val="en-US" w:eastAsia="zh-CN"/>
              </w:rPr>
              <w:t>2024年10月12日委托云南科环环境工程咨询有限公司</w:t>
            </w:r>
            <w:r>
              <w:rPr>
                <w:rFonts w:hint="default" w:ascii="Times New Roman" w:hAnsi="Times New Roman" w:eastAsia="宋体" w:cs="Times New Roman"/>
                <w:color w:val="auto"/>
                <w:sz w:val="24"/>
                <w:szCs w:val="22"/>
                <w:highlight w:val="none"/>
                <w:lang w:val="en-US" w:eastAsia="zh-CN"/>
              </w:rPr>
              <w:t>对升压站站址东、南、西、北四侧厂界噪声进行监测，监测期间，升压站为正常运行工况，详细监测结果如下：</w:t>
            </w:r>
          </w:p>
          <w:p w14:paraId="27D78E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表4-1  升压站厂界噪声监测结果一览表</w:t>
            </w:r>
          </w:p>
          <w:tbl>
            <w:tblPr>
              <w:tblStyle w:val="50"/>
              <w:tblW w:w="8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822"/>
              <w:gridCol w:w="1210"/>
              <w:gridCol w:w="756"/>
              <w:gridCol w:w="1247"/>
              <w:gridCol w:w="1162"/>
              <w:gridCol w:w="934"/>
              <w:gridCol w:w="721"/>
            </w:tblGrid>
            <w:tr w14:paraId="60C5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blHeader/>
                <w:jc w:val="center"/>
              </w:trPr>
              <w:tc>
                <w:tcPr>
                  <w:tcW w:w="379" w:type="pct"/>
                  <w:vAlign w:val="center"/>
                </w:tcPr>
                <w:p w14:paraId="1CE76A64">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72" w:type="pct"/>
                  <w:vAlign w:val="center"/>
                </w:tcPr>
                <w:p w14:paraId="40311909">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w:t>
                  </w:r>
                </w:p>
              </w:tc>
              <w:tc>
                <w:tcPr>
                  <w:tcW w:w="712" w:type="pct"/>
                  <w:vAlign w:val="center"/>
                </w:tcPr>
                <w:p w14:paraId="785A569C">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178" w:type="pct"/>
                  <w:gridSpan w:val="2"/>
                  <w:vAlign w:val="center"/>
                </w:tcPr>
                <w:p w14:paraId="25220448">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采样时段</w:t>
                  </w:r>
                </w:p>
              </w:tc>
              <w:tc>
                <w:tcPr>
                  <w:tcW w:w="683" w:type="pct"/>
                  <w:vAlign w:val="center"/>
                </w:tcPr>
                <w:p w14:paraId="59353C34">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w:t>
                  </w:r>
                </w:p>
                <w:p w14:paraId="179C4E69">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Leq</w:t>
                  </w:r>
                </w:p>
              </w:tc>
              <w:tc>
                <w:tcPr>
                  <w:tcW w:w="549" w:type="pct"/>
                  <w:vAlign w:val="center"/>
                </w:tcPr>
                <w:p w14:paraId="2E2E5CB9">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w:t>
                  </w:r>
                </w:p>
                <w:p w14:paraId="28A50AD7">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限值</w:t>
                  </w:r>
                </w:p>
              </w:tc>
              <w:tc>
                <w:tcPr>
                  <w:tcW w:w="424" w:type="pct"/>
                  <w:vAlign w:val="center"/>
                </w:tcPr>
                <w:p w14:paraId="58A24218">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p w14:paraId="6017A64F">
                  <w:pPr>
                    <w:keepNext w:val="0"/>
                    <w:keepLines/>
                    <w:pageBreakBefore w:val="0"/>
                    <w:widowControl w:val="0"/>
                    <w:kinsoku/>
                    <w:wordWrap/>
                    <w:overflowPunct/>
                    <w:topLinePunct w:val="0"/>
                    <w:autoSpaceDE/>
                    <w:autoSpaceDN/>
                    <w:bidi w:val="0"/>
                    <w:adjustRightInd/>
                    <w:snapToGrid/>
                    <w:spacing w:line="300" w:lineRule="auto"/>
                    <w:ind w:left="-105" w:leftChars="-50" w:right="-105" w:right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情况</w:t>
                  </w:r>
                </w:p>
              </w:tc>
            </w:tr>
            <w:tr w14:paraId="1610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restart"/>
                  <w:vAlign w:val="center"/>
                </w:tcPr>
                <w:p w14:paraId="38232715">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71" w:name="_Toc17678"/>
                  <w:r>
                    <w:rPr>
                      <w:rFonts w:hint="default" w:ascii="Times New Roman" w:hAnsi="Times New Roman" w:eastAsia="宋体" w:cs="Times New Roman"/>
                      <w:b w:val="0"/>
                      <w:color w:val="auto"/>
                      <w:spacing w:val="0"/>
                      <w:kern w:val="2"/>
                      <w:sz w:val="21"/>
                      <w:szCs w:val="21"/>
                      <w:highlight w:val="none"/>
                      <w:lang w:val="en-US" w:eastAsia="zh-CN" w:bidi="ar-SA"/>
                    </w:rPr>
                    <w:t>1#</w:t>
                  </w:r>
                  <w:bookmarkEnd w:id="171"/>
                </w:p>
              </w:tc>
              <w:tc>
                <w:tcPr>
                  <w:tcW w:w="1072" w:type="pct"/>
                  <w:vMerge w:val="restart"/>
                  <w:vAlign w:val="center"/>
                </w:tcPr>
                <w:p w14:paraId="6F8E3CC5">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bookmarkStart w:id="172" w:name="_Toc28914"/>
                  <w:r>
                    <w:rPr>
                      <w:rFonts w:hint="default" w:ascii="Times New Roman" w:hAnsi="Times New Roman" w:eastAsia="宋体" w:cs="Times New Roman"/>
                      <w:b w:val="0"/>
                      <w:color w:val="auto"/>
                      <w:spacing w:val="0"/>
                      <w:w w:val="100"/>
                      <w:kern w:val="2"/>
                      <w:sz w:val="21"/>
                      <w:szCs w:val="21"/>
                      <w:highlight w:val="none"/>
                      <w:lang w:val="en-US" w:eastAsia="zh-CN" w:bidi="ar-SA"/>
                    </w:rPr>
                    <w:t>220kV升压站东侧围墙外1m处</w:t>
                  </w:r>
                  <w:bookmarkEnd w:id="172"/>
                </w:p>
              </w:tc>
              <w:tc>
                <w:tcPr>
                  <w:tcW w:w="712" w:type="pct"/>
                  <w:shd w:val="clear" w:color="auto" w:fill="auto"/>
                  <w:vAlign w:val="center"/>
                </w:tcPr>
                <w:p w14:paraId="2E2DCD73">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57EB27FB">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3" w:type="pct"/>
                  <w:vAlign w:val="center"/>
                </w:tcPr>
                <w:p w14:paraId="23CE4354">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19:22-19:23</w:t>
                  </w:r>
                </w:p>
              </w:tc>
              <w:tc>
                <w:tcPr>
                  <w:tcW w:w="683" w:type="pct"/>
                  <w:vAlign w:val="center"/>
                </w:tcPr>
                <w:p w14:paraId="3F334B6F">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549" w:type="pct"/>
                  <w:vAlign w:val="center"/>
                </w:tcPr>
                <w:p w14:paraId="6A286817">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17604A00">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5C4D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continue"/>
                  <w:vAlign w:val="center"/>
                </w:tcPr>
                <w:p w14:paraId="179EB039">
                  <w:pPr>
                    <w:pStyle w:val="96"/>
                    <w:keepNext w:val="0"/>
                    <w:pageBreakBefore w:val="0"/>
                    <w:widowControl/>
                    <w:kinsoku/>
                    <w:wordWrap/>
                    <w:overflowPunct/>
                    <w:topLinePunct w:val="0"/>
                    <w:bidi w:val="0"/>
                    <w:adjustRightInd/>
                    <w:snapToGrid/>
                    <w:spacing w:beforeLines="0" w:afterLines="0" w:line="360" w:lineRule="auto"/>
                    <w:ind w:left="-105" w:leftChars="-50" w:right="-105" w:rightChars="-50" w:firstLine="0" w:firstLineChars="0"/>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072" w:type="pct"/>
                  <w:vMerge w:val="continue"/>
                  <w:vAlign w:val="center"/>
                </w:tcPr>
                <w:p w14:paraId="0B6CC39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12" w:type="pct"/>
                  <w:shd w:val="clear" w:color="auto" w:fill="auto"/>
                  <w:vAlign w:val="center"/>
                </w:tcPr>
                <w:p w14:paraId="018F4E5C">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59A06754">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3" w:type="pct"/>
                  <w:vAlign w:val="center"/>
                </w:tcPr>
                <w:p w14:paraId="1A2C4527">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22:17-22:18</w:t>
                  </w:r>
                </w:p>
              </w:tc>
              <w:tc>
                <w:tcPr>
                  <w:tcW w:w="683" w:type="pct"/>
                  <w:vAlign w:val="center"/>
                </w:tcPr>
                <w:p w14:paraId="3B3D0AF8">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549" w:type="pct"/>
                  <w:vAlign w:val="center"/>
                </w:tcPr>
                <w:p w14:paraId="1C60B17C">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01816471">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r w14:paraId="17E6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restart"/>
                  <w:vAlign w:val="center"/>
                </w:tcPr>
                <w:p w14:paraId="7C109F2E">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73" w:name="_Toc4835"/>
                  <w:r>
                    <w:rPr>
                      <w:rFonts w:hint="default" w:ascii="Times New Roman" w:hAnsi="Times New Roman" w:eastAsia="宋体" w:cs="Times New Roman"/>
                      <w:b w:val="0"/>
                      <w:color w:val="auto"/>
                      <w:spacing w:val="0"/>
                      <w:kern w:val="2"/>
                      <w:sz w:val="21"/>
                      <w:szCs w:val="21"/>
                      <w:highlight w:val="none"/>
                      <w:lang w:val="en-US" w:eastAsia="zh-CN" w:bidi="ar-SA"/>
                    </w:rPr>
                    <w:t>2#</w:t>
                  </w:r>
                  <w:bookmarkEnd w:id="173"/>
                </w:p>
              </w:tc>
              <w:tc>
                <w:tcPr>
                  <w:tcW w:w="1072" w:type="pct"/>
                  <w:vMerge w:val="restart"/>
                  <w:vAlign w:val="center"/>
                </w:tcPr>
                <w:p w14:paraId="672679D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220kV升压站南侧围墙外1m处</w:t>
                  </w:r>
                </w:p>
              </w:tc>
              <w:tc>
                <w:tcPr>
                  <w:tcW w:w="712" w:type="pct"/>
                  <w:shd w:val="clear" w:color="auto" w:fill="auto"/>
                  <w:vAlign w:val="center"/>
                </w:tcPr>
                <w:p w14:paraId="32468CE8">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46BB6AEE">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3" w:type="pct"/>
                  <w:vAlign w:val="center"/>
                </w:tcPr>
                <w:p w14:paraId="7085F6B5">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19:04-19:05</w:t>
                  </w:r>
                </w:p>
              </w:tc>
              <w:tc>
                <w:tcPr>
                  <w:tcW w:w="683" w:type="pct"/>
                  <w:vAlign w:val="center"/>
                </w:tcPr>
                <w:p w14:paraId="7E3BF9FE">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549" w:type="pct"/>
                  <w:vAlign w:val="center"/>
                </w:tcPr>
                <w:p w14:paraId="2B4E39E2">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770B4001">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7A02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continue"/>
                  <w:vAlign w:val="center"/>
                </w:tcPr>
                <w:p w14:paraId="28C4EDA0">
                  <w:pPr>
                    <w:pStyle w:val="96"/>
                    <w:keepNext w:val="0"/>
                    <w:pageBreakBefore w:val="0"/>
                    <w:widowControl/>
                    <w:kinsoku/>
                    <w:wordWrap/>
                    <w:overflowPunct/>
                    <w:topLinePunct w:val="0"/>
                    <w:bidi w:val="0"/>
                    <w:adjustRightInd/>
                    <w:snapToGrid/>
                    <w:spacing w:beforeLines="0" w:afterLines="0" w:line="360" w:lineRule="auto"/>
                    <w:ind w:left="-105" w:leftChars="-50" w:right="-105" w:rightChars="-50" w:firstLine="0" w:firstLineChars="0"/>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072" w:type="pct"/>
                  <w:vMerge w:val="continue"/>
                  <w:vAlign w:val="center"/>
                </w:tcPr>
                <w:p w14:paraId="3F2D2F9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12" w:type="pct"/>
                  <w:shd w:val="clear" w:color="auto" w:fill="auto"/>
                  <w:vAlign w:val="center"/>
                </w:tcPr>
                <w:p w14:paraId="79CC3769">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5BD9C7D5">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3" w:type="pct"/>
                  <w:vAlign w:val="center"/>
                </w:tcPr>
                <w:p w14:paraId="02C5CD15">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22:11-22:12</w:t>
                  </w:r>
                </w:p>
              </w:tc>
              <w:tc>
                <w:tcPr>
                  <w:tcW w:w="683" w:type="pct"/>
                  <w:vAlign w:val="center"/>
                </w:tcPr>
                <w:p w14:paraId="12E77E0A">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549" w:type="pct"/>
                  <w:vAlign w:val="center"/>
                </w:tcPr>
                <w:p w14:paraId="06A22E63">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0407C5EF">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r w14:paraId="7766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restart"/>
                  <w:vAlign w:val="center"/>
                </w:tcPr>
                <w:p w14:paraId="7EDC9B00">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74" w:name="_Toc2663"/>
                  <w:r>
                    <w:rPr>
                      <w:rFonts w:hint="default" w:ascii="Times New Roman" w:hAnsi="Times New Roman" w:eastAsia="宋体" w:cs="Times New Roman"/>
                      <w:b w:val="0"/>
                      <w:color w:val="auto"/>
                      <w:spacing w:val="0"/>
                      <w:kern w:val="2"/>
                      <w:sz w:val="21"/>
                      <w:szCs w:val="21"/>
                      <w:highlight w:val="none"/>
                      <w:lang w:val="en-US" w:eastAsia="zh-CN" w:bidi="ar-SA"/>
                    </w:rPr>
                    <w:t>3#</w:t>
                  </w:r>
                  <w:bookmarkEnd w:id="174"/>
                </w:p>
              </w:tc>
              <w:tc>
                <w:tcPr>
                  <w:tcW w:w="1072" w:type="pct"/>
                  <w:vMerge w:val="restart"/>
                  <w:vAlign w:val="center"/>
                </w:tcPr>
                <w:p w14:paraId="02EB974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220kV升压站西侧围墙外1m处</w:t>
                  </w:r>
                </w:p>
              </w:tc>
              <w:tc>
                <w:tcPr>
                  <w:tcW w:w="712" w:type="pct"/>
                  <w:vAlign w:val="center"/>
                </w:tcPr>
                <w:p w14:paraId="78DF9E30">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085ED895">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3" w:type="pct"/>
                  <w:vAlign w:val="center"/>
                </w:tcPr>
                <w:p w14:paraId="1ACD2A32">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18:54-18:55</w:t>
                  </w:r>
                </w:p>
              </w:tc>
              <w:tc>
                <w:tcPr>
                  <w:tcW w:w="683" w:type="pct"/>
                  <w:vAlign w:val="center"/>
                </w:tcPr>
                <w:p w14:paraId="18E1AA15">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549" w:type="pct"/>
                  <w:vAlign w:val="center"/>
                </w:tcPr>
                <w:p w14:paraId="62ACEA59">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309F587A">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2F1E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continue"/>
                  <w:vAlign w:val="center"/>
                </w:tcPr>
                <w:p w14:paraId="5B41B79D">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1072" w:type="pct"/>
                  <w:vMerge w:val="continue"/>
                  <w:vAlign w:val="center"/>
                </w:tcPr>
                <w:p w14:paraId="1DFC6C7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p>
              </w:tc>
              <w:tc>
                <w:tcPr>
                  <w:tcW w:w="712" w:type="pct"/>
                  <w:vAlign w:val="center"/>
                </w:tcPr>
                <w:p w14:paraId="03C6B7F5">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25B16747">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3" w:type="pct"/>
                  <w:vAlign w:val="center"/>
                </w:tcPr>
                <w:p w14:paraId="7FA81781">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22:05-22:06</w:t>
                  </w:r>
                </w:p>
              </w:tc>
              <w:tc>
                <w:tcPr>
                  <w:tcW w:w="683" w:type="pct"/>
                  <w:vAlign w:val="center"/>
                </w:tcPr>
                <w:p w14:paraId="21AD4936">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w:t>
                  </w:r>
                </w:p>
              </w:tc>
              <w:tc>
                <w:tcPr>
                  <w:tcW w:w="549" w:type="pct"/>
                  <w:vAlign w:val="center"/>
                </w:tcPr>
                <w:p w14:paraId="4305FD8F">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22F541B4">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r w14:paraId="3CCF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379" w:type="pct"/>
                  <w:vMerge w:val="restart"/>
                  <w:vAlign w:val="center"/>
                </w:tcPr>
                <w:p w14:paraId="55DF3890">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bookmarkStart w:id="175" w:name="_Toc24902"/>
                  <w:r>
                    <w:rPr>
                      <w:rFonts w:hint="default" w:ascii="Times New Roman" w:hAnsi="Times New Roman" w:eastAsia="宋体" w:cs="Times New Roman"/>
                      <w:b w:val="0"/>
                      <w:color w:val="auto"/>
                      <w:spacing w:val="0"/>
                      <w:kern w:val="2"/>
                      <w:sz w:val="21"/>
                      <w:szCs w:val="21"/>
                      <w:highlight w:val="none"/>
                      <w:lang w:val="en-US" w:eastAsia="zh-CN" w:bidi="ar-SA"/>
                    </w:rPr>
                    <w:t>4#</w:t>
                  </w:r>
                  <w:bookmarkEnd w:id="175"/>
                </w:p>
              </w:tc>
              <w:tc>
                <w:tcPr>
                  <w:tcW w:w="1072" w:type="pct"/>
                  <w:vMerge w:val="restart"/>
                  <w:vAlign w:val="center"/>
                </w:tcPr>
                <w:p w14:paraId="7C44FCB0">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220kV升压站北侧围墙外1m处</w:t>
                  </w:r>
                </w:p>
              </w:tc>
              <w:tc>
                <w:tcPr>
                  <w:tcW w:w="712" w:type="pct"/>
                  <w:vAlign w:val="center"/>
                </w:tcPr>
                <w:p w14:paraId="33EB8BD0">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460E75AE">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733" w:type="pct"/>
                  <w:vAlign w:val="center"/>
                </w:tcPr>
                <w:p w14:paraId="3D1D7FC9">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19:37-19:38</w:t>
                  </w:r>
                </w:p>
              </w:tc>
              <w:tc>
                <w:tcPr>
                  <w:tcW w:w="683" w:type="pct"/>
                  <w:vAlign w:val="center"/>
                </w:tcPr>
                <w:p w14:paraId="16D29EE1">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w:t>
                  </w:r>
                </w:p>
              </w:tc>
              <w:tc>
                <w:tcPr>
                  <w:tcW w:w="549" w:type="pct"/>
                  <w:vAlign w:val="center"/>
                </w:tcPr>
                <w:p w14:paraId="3E20A559">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w:t>
                  </w:r>
                </w:p>
              </w:tc>
              <w:tc>
                <w:tcPr>
                  <w:tcW w:w="424" w:type="pct"/>
                  <w:vAlign w:val="center"/>
                </w:tcPr>
                <w:p w14:paraId="6EC6A870">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w:t>
                  </w:r>
                </w:p>
              </w:tc>
            </w:tr>
            <w:tr w14:paraId="4B96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379" w:type="pct"/>
                  <w:vMerge w:val="continue"/>
                  <w:vAlign w:val="center"/>
                </w:tcPr>
                <w:p w14:paraId="7D3D1AAC">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72" w:type="pct"/>
                  <w:vMerge w:val="continue"/>
                  <w:vAlign w:val="center"/>
                </w:tcPr>
                <w:p w14:paraId="122CB7FB">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p>
              </w:tc>
              <w:tc>
                <w:tcPr>
                  <w:tcW w:w="712" w:type="pct"/>
                  <w:vAlign w:val="center"/>
                </w:tcPr>
                <w:p w14:paraId="308D027F">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2024.10.12</w:t>
                  </w:r>
                </w:p>
              </w:tc>
              <w:tc>
                <w:tcPr>
                  <w:tcW w:w="444" w:type="pct"/>
                  <w:vAlign w:val="center"/>
                </w:tcPr>
                <w:p w14:paraId="2E99F997">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夜间</w:t>
                  </w:r>
                </w:p>
              </w:tc>
              <w:tc>
                <w:tcPr>
                  <w:tcW w:w="733" w:type="pct"/>
                  <w:vAlign w:val="center"/>
                </w:tcPr>
                <w:p w14:paraId="6E22BFC8">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22:24-22:25</w:t>
                  </w:r>
                </w:p>
              </w:tc>
              <w:tc>
                <w:tcPr>
                  <w:tcW w:w="683" w:type="pct"/>
                  <w:vAlign w:val="center"/>
                </w:tcPr>
                <w:p w14:paraId="0B06F627">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w:t>
                  </w:r>
                </w:p>
              </w:tc>
              <w:tc>
                <w:tcPr>
                  <w:tcW w:w="549" w:type="pct"/>
                  <w:vAlign w:val="center"/>
                </w:tcPr>
                <w:p w14:paraId="306F8AFD">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w:t>
                  </w:r>
                </w:p>
              </w:tc>
              <w:tc>
                <w:tcPr>
                  <w:tcW w:w="424" w:type="pct"/>
                  <w:vAlign w:val="center"/>
                </w:tcPr>
                <w:p w14:paraId="74202B8D">
                  <w:pPr>
                    <w:keepNext w:val="0"/>
                    <w:keepLines/>
                    <w:pageBreakBefore w:val="0"/>
                    <w:kinsoku/>
                    <w:wordWrap/>
                    <w:overflowPunct/>
                    <w:topLinePunct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w:t>
                  </w:r>
                </w:p>
              </w:tc>
            </w:tr>
          </w:tbl>
          <w:p w14:paraId="672F15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2"/>
                <w:highlight w:val="none"/>
                <w:lang w:val="en-US" w:eastAsia="zh-CN"/>
              </w:rPr>
              <w:t>根据上表监测结果可知，升压站运行过程产生的噪声经绿化降噪、围墙阻隔后，均可满足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val="en-US" w:eastAsia="zh-CN"/>
              </w:rPr>
              <w:t>要求，均可达标排放</w:t>
            </w:r>
            <w:bookmarkEnd w:id="167"/>
            <w:bookmarkEnd w:id="168"/>
            <w:bookmarkEnd w:id="169"/>
            <w:bookmarkEnd w:id="170"/>
            <w:r>
              <w:rPr>
                <w:rFonts w:hint="default" w:ascii="Times New Roman" w:hAnsi="Times New Roman" w:eastAsia="宋体" w:cs="Times New Roman"/>
                <w:color w:val="auto"/>
                <w:sz w:val="24"/>
                <w:szCs w:val="24"/>
                <w:highlight w:val="none"/>
                <w:lang w:val="en-US" w:eastAsia="zh-CN"/>
              </w:rPr>
              <w:t>，影响较小</w:t>
            </w:r>
            <w:r>
              <w:rPr>
                <w:rFonts w:hint="default" w:ascii="Times New Roman" w:hAnsi="Times New Roman" w:eastAsia="宋体" w:cs="Times New Roman"/>
                <w:color w:val="auto"/>
                <w:sz w:val="24"/>
                <w:szCs w:val="24"/>
                <w:highlight w:val="none"/>
              </w:rPr>
              <w:t>。</w:t>
            </w:r>
          </w:p>
          <w:p w14:paraId="151A24EB">
            <w:pPr>
              <w:pStyle w:val="4"/>
              <w:pageBreakBefore w:val="0"/>
              <w:widowControl w:val="0"/>
              <w:kinsoku/>
              <w:wordWrap/>
              <w:overflowPunct/>
              <w:topLinePunct w:val="0"/>
              <w:autoSpaceDE/>
              <w:autoSpaceDN/>
              <w:bidi w:val="0"/>
              <w:adjustRightInd/>
              <w:snapToGrid/>
              <w:spacing w:before="0" w:after="0" w:line="336" w:lineRule="auto"/>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176" w:name="_Toc107"/>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b/>
                <w:bCs/>
                <w:color w:val="auto"/>
                <w:kern w:val="2"/>
                <w:sz w:val="24"/>
                <w:szCs w:val="24"/>
                <w:highlight w:val="none"/>
                <w:lang w:val="en-US" w:eastAsia="zh-CN" w:bidi="ar-SA"/>
              </w:rPr>
              <w:t xml:space="preserve"> </w:t>
            </w:r>
            <w:bookmarkStart w:id="177" w:name="_Toc25619"/>
            <w:bookmarkStart w:id="178" w:name="_Toc2090"/>
            <w:bookmarkStart w:id="179" w:name="_Toc8805"/>
            <w:bookmarkStart w:id="180" w:name="_Toc5718"/>
            <w:r>
              <w:rPr>
                <w:rFonts w:hint="default" w:ascii="Times New Roman" w:hAnsi="Times New Roman" w:eastAsia="宋体" w:cs="Times New Roman"/>
                <w:b/>
                <w:bCs/>
                <w:color w:val="auto"/>
                <w:kern w:val="2"/>
                <w:sz w:val="24"/>
                <w:szCs w:val="24"/>
                <w:highlight w:val="none"/>
                <w:lang w:val="en-US" w:eastAsia="zh-CN" w:bidi="ar-SA"/>
              </w:rPr>
              <w:t>（三）运行期水环境影响分析</w:t>
            </w:r>
            <w:bookmarkEnd w:id="176"/>
            <w:bookmarkEnd w:id="177"/>
            <w:bookmarkEnd w:id="178"/>
            <w:bookmarkEnd w:id="179"/>
            <w:bookmarkEnd w:id="180"/>
          </w:p>
          <w:p w14:paraId="4163F59A">
            <w:pPr>
              <w:pStyle w:val="4"/>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181" w:name="_Toc18010"/>
            <w:bookmarkStart w:id="182" w:name="_Toc593"/>
            <w:bookmarkStart w:id="183" w:name="_Toc31834"/>
            <w:bookmarkStart w:id="184" w:name="_Toc27135"/>
            <w:bookmarkStart w:id="185" w:name="_Toc25753"/>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该报告表中已对升压站运行过程产生的废水进行影响分析，升压站运营期废水主要为生活污水（含食堂废水及一般生活污水）。根据《中清能禄劝县岩子头200MW生态修复光伏电站项目环境影响报告表》及其环评批复，要求升压站</w:t>
            </w:r>
            <w:r>
              <w:rPr>
                <w:rFonts w:hint="default" w:ascii="Times New Roman" w:hAnsi="Times New Roman" w:eastAsia="宋体" w:cs="Times New Roman"/>
                <w:b w:val="0"/>
                <w:bCs w:val="0"/>
                <w:color w:val="auto"/>
                <w:sz w:val="24"/>
                <w:szCs w:val="24"/>
                <w:highlight w:val="none"/>
                <w:lang w:val="en-US" w:eastAsia="zh-CN"/>
              </w:rPr>
              <w:t>设置雨水沟、1个容积为0.5m³的食堂隔油池、1个容积为2m³的埋地化粪池、1套处理规模2m³/d的一体化污水处理站、1个容积为</w:t>
            </w:r>
            <w:r>
              <w:rPr>
                <w:rFonts w:hint="default" w:ascii="Times New Roman" w:hAnsi="Times New Roman" w:eastAsia="宋体" w:cs="Times New Roman"/>
                <w:b w:val="0"/>
                <w:bCs w:val="0"/>
                <w:color w:val="auto"/>
                <w:sz w:val="24"/>
                <w:szCs w:val="24"/>
                <w:highlight w:val="none"/>
              </w:rPr>
              <w:t>10m³</w:t>
            </w:r>
            <w:r>
              <w:rPr>
                <w:rFonts w:hint="default" w:ascii="Times New Roman" w:hAnsi="Times New Roman" w:eastAsia="宋体" w:cs="Times New Roman"/>
                <w:b w:val="0"/>
                <w:bCs w:val="0"/>
                <w:color w:val="auto"/>
                <w:sz w:val="24"/>
                <w:szCs w:val="24"/>
                <w:highlight w:val="none"/>
                <w:lang w:val="en-US" w:eastAsia="zh-CN"/>
              </w:rPr>
              <w:t>的清水池，产生的食堂废水经食堂隔油池预处理后，和其他一般生活污水一同排入化粪池，经化粪池处理后排至自建一体化污水处理站进行处理，经处理达</w:t>
            </w:r>
            <w:r>
              <w:rPr>
                <w:rFonts w:hint="default" w:ascii="Times New Roman" w:hAnsi="Times New Roman" w:eastAsia="宋体" w:cs="Times New Roman"/>
                <w:b w:val="0"/>
                <w:bCs w:val="0"/>
                <w:color w:val="auto"/>
                <w:sz w:val="24"/>
                <w:szCs w:val="24"/>
                <w:highlight w:val="none"/>
              </w:rPr>
              <w:t>《城市污水再生利用城市杂用水水质》（GB/T18920-2020）中绿化标准后回用于升压站内绿化</w:t>
            </w:r>
            <w:r>
              <w:rPr>
                <w:rFonts w:hint="default" w:ascii="Times New Roman" w:hAnsi="Times New Roman" w:eastAsia="宋体" w:cs="Times New Roman"/>
                <w:b w:val="0"/>
                <w:bCs w:val="0"/>
                <w:color w:val="auto"/>
                <w:sz w:val="24"/>
                <w:szCs w:val="24"/>
                <w:highlight w:val="none"/>
                <w:lang w:val="en-US" w:eastAsia="zh-CN"/>
              </w:rPr>
              <w:t>用水</w:t>
            </w:r>
            <w:r>
              <w:rPr>
                <w:rFonts w:hint="default" w:ascii="Times New Roman" w:hAnsi="Times New Roman" w:eastAsia="宋体" w:cs="Times New Roman"/>
                <w:b w:val="0"/>
                <w:bCs w:val="0"/>
                <w:color w:val="auto"/>
                <w:sz w:val="24"/>
                <w:szCs w:val="24"/>
                <w:highlight w:val="none"/>
              </w:rPr>
              <w:t>，不外排</w:t>
            </w:r>
            <w:r>
              <w:rPr>
                <w:rFonts w:hint="default" w:ascii="Times New Roman" w:hAnsi="Times New Roman" w:eastAsia="宋体" w:cs="Times New Roman"/>
                <w:b w:val="0"/>
                <w:bCs w:val="0"/>
                <w:color w:val="auto"/>
                <w:sz w:val="24"/>
                <w:szCs w:val="24"/>
                <w:highlight w:val="none"/>
                <w:lang w:eastAsia="zh-CN"/>
              </w:rPr>
              <w:t>。</w:t>
            </w:r>
            <w:bookmarkEnd w:id="181"/>
          </w:p>
          <w:p w14:paraId="570206CF">
            <w:pPr>
              <w:pStyle w:val="4"/>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186" w:name="_Toc7341"/>
            <w:r>
              <w:rPr>
                <w:rFonts w:hint="default" w:ascii="Times New Roman" w:hAnsi="Times New Roman" w:eastAsia="宋体" w:cs="Times New Roman"/>
                <w:b w:val="0"/>
                <w:bCs w:val="0"/>
                <w:color w:val="auto"/>
                <w:kern w:val="2"/>
                <w:sz w:val="24"/>
                <w:szCs w:val="24"/>
                <w:highlight w:val="none"/>
                <w:lang w:val="en-US" w:eastAsia="zh-CN" w:bidi="ar-SA"/>
              </w:rPr>
              <w:t>根据现场调查，升压站已按要求</w:t>
            </w:r>
            <w:r>
              <w:rPr>
                <w:rFonts w:hint="default" w:ascii="Times New Roman" w:hAnsi="Times New Roman" w:eastAsia="宋体" w:cs="Times New Roman"/>
                <w:b w:val="0"/>
                <w:bCs w:val="0"/>
                <w:color w:val="auto"/>
                <w:sz w:val="24"/>
                <w:szCs w:val="24"/>
                <w:highlight w:val="none"/>
                <w:lang w:val="en-US" w:eastAsia="zh-CN"/>
              </w:rPr>
              <w:t>设置有雨污分流系统、1个食堂隔油池（容积为0.5m³）、1个埋地化粪池（容积为2m³）、1套一体化污水处理站（处理规模2m³/d）、1个清水池（容积为25.74</w:t>
            </w:r>
            <w:r>
              <w:rPr>
                <w:rFonts w:hint="default" w:ascii="Times New Roman" w:hAnsi="Times New Roman" w:eastAsia="宋体" w:cs="Times New Roman"/>
                <w:b w:val="0"/>
                <w:bCs w:val="0"/>
                <w:color w:val="auto"/>
                <w:sz w:val="24"/>
                <w:szCs w:val="24"/>
                <w:highlight w:val="none"/>
              </w:rPr>
              <w:t>m³</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bidi="ar-SA"/>
              </w:rPr>
              <w:t>中清能禄劝县岩子头200MW生态修复光伏电站项目目前证照开展竣工环境保护验收工作，验收期间于2024年9月12日~13日对升压站已建一体化污水处理站处理后的出水水质进行了监测，监测频率为连续2天，每天采样4次，详细水质监测结果详见下表：</w:t>
            </w:r>
            <w:bookmarkEnd w:id="186"/>
          </w:p>
          <w:p w14:paraId="1416B1E4">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4-2   废水</w:t>
            </w:r>
            <w:r>
              <w:rPr>
                <w:rFonts w:hint="default" w:ascii="Times New Roman" w:hAnsi="Times New Roman" w:eastAsia="宋体" w:cs="Times New Roman"/>
                <w:b/>
                <w:color w:val="auto"/>
                <w:sz w:val="24"/>
                <w:szCs w:val="24"/>
                <w:highlight w:val="none"/>
              </w:rPr>
              <w:t>检测结果</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2024.09.12</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一览表</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val="en-US" w:eastAsia="zh-CN"/>
              </w:rPr>
              <w:t>单位：</w:t>
            </w:r>
            <w:r>
              <w:rPr>
                <w:rFonts w:hint="default" w:ascii="Times New Roman" w:hAnsi="Times New Roman" w:eastAsia="宋体" w:cs="Times New Roman"/>
                <w:b/>
                <w:bCs w:val="0"/>
                <w:color w:val="auto"/>
                <w:sz w:val="24"/>
                <w:szCs w:val="24"/>
                <w:highlight w:val="none"/>
              </w:rPr>
              <w:t>mg/L</w:t>
            </w:r>
          </w:p>
          <w:tbl>
            <w:tblPr>
              <w:tblStyle w:val="49"/>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1152"/>
              <w:gridCol w:w="1152"/>
              <w:gridCol w:w="1227"/>
              <w:gridCol w:w="1184"/>
              <w:gridCol w:w="868"/>
              <w:gridCol w:w="686"/>
            </w:tblGrid>
            <w:tr w14:paraId="1D38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430EF899">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日期</w:t>
                  </w:r>
                </w:p>
              </w:tc>
              <w:tc>
                <w:tcPr>
                  <w:tcW w:w="4715" w:type="dxa"/>
                  <w:gridSpan w:val="4"/>
                  <w:tcBorders>
                    <w:tl2br w:val="nil"/>
                    <w:tr2bl w:val="nil"/>
                  </w:tcBorders>
                  <w:noWrap w:val="0"/>
                  <w:vAlign w:val="center"/>
                </w:tcPr>
                <w:p w14:paraId="3025B224">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2024/9/12</w:t>
                  </w:r>
                </w:p>
              </w:tc>
              <w:tc>
                <w:tcPr>
                  <w:tcW w:w="868" w:type="dxa"/>
                  <w:vMerge w:val="restart"/>
                  <w:tcBorders>
                    <w:tl2br w:val="nil"/>
                    <w:tr2bl w:val="nil"/>
                  </w:tcBorders>
                  <w:noWrap w:val="0"/>
                  <w:vAlign w:val="center"/>
                </w:tcPr>
                <w:p w14:paraId="50F3C510">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标准</w:t>
                  </w:r>
                </w:p>
                <w:p w14:paraId="24D79FC9">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限值</w:t>
                  </w:r>
                </w:p>
              </w:tc>
              <w:tc>
                <w:tcPr>
                  <w:tcW w:w="686" w:type="dxa"/>
                  <w:vMerge w:val="restart"/>
                  <w:tcBorders>
                    <w:tl2br w:val="nil"/>
                    <w:tr2bl w:val="nil"/>
                  </w:tcBorders>
                  <w:noWrap w:val="0"/>
                  <w:vAlign w:val="center"/>
                </w:tcPr>
                <w:p w14:paraId="1017C182">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达标情况</w:t>
                  </w:r>
                </w:p>
              </w:tc>
            </w:tr>
            <w:tr w14:paraId="600D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00B19550">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时间</w:t>
                  </w:r>
                </w:p>
              </w:tc>
              <w:tc>
                <w:tcPr>
                  <w:tcW w:w="1152" w:type="dxa"/>
                  <w:tcBorders>
                    <w:tl2br w:val="nil"/>
                    <w:tr2bl w:val="nil"/>
                  </w:tcBorders>
                  <w:noWrap w:val="0"/>
                  <w:vAlign w:val="center"/>
                </w:tcPr>
                <w:p w14:paraId="310EF4DA">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09:17</w:t>
                  </w:r>
                </w:p>
              </w:tc>
              <w:tc>
                <w:tcPr>
                  <w:tcW w:w="1152" w:type="dxa"/>
                  <w:tcBorders>
                    <w:tl2br w:val="nil"/>
                    <w:tr2bl w:val="nil"/>
                  </w:tcBorders>
                  <w:noWrap w:val="0"/>
                  <w:vAlign w:val="center"/>
                </w:tcPr>
                <w:p w14:paraId="58A3EBFF">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11:48</w:t>
                  </w:r>
                </w:p>
              </w:tc>
              <w:tc>
                <w:tcPr>
                  <w:tcW w:w="1227" w:type="dxa"/>
                  <w:tcBorders>
                    <w:tl2br w:val="nil"/>
                    <w:tr2bl w:val="nil"/>
                  </w:tcBorders>
                  <w:noWrap w:val="0"/>
                  <w:vAlign w:val="center"/>
                </w:tcPr>
                <w:p w14:paraId="098E215D">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13:55</w:t>
                  </w:r>
                </w:p>
              </w:tc>
              <w:tc>
                <w:tcPr>
                  <w:tcW w:w="1184" w:type="dxa"/>
                  <w:tcBorders>
                    <w:tl2br w:val="nil"/>
                    <w:tr2bl w:val="nil"/>
                  </w:tcBorders>
                  <w:noWrap w:val="0"/>
                  <w:vAlign w:val="center"/>
                </w:tcPr>
                <w:p w14:paraId="7F903F79">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16:10</w:t>
                  </w:r>
                </w:p>
              </w:tc>
              <w:tc>
                <w:tcPr>
                  <w:tcW w:w="868" w:type="dxa"/>
                  <w:vMerge w:val="continue"/>
                  <w:tcBorders>
                    <w:tl2br w:val="nil"/>
                    <w:tr2bl w:val="nil"/>
                  </w:tcBorders>
                  <w:noWrap w:val="0"/>
                  <w:vAlign w:val="center"/>
                </w:tcPr>
                <w:p w14:paraId="48127FF0">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p>
              </w:tc>
              <w:tc>
                <w:tcPr>
                  <w:tcW w:w="686" w:type="dxa"/>
                  <w:vMerge w:val="continue"/>
                  <w:tcBorders>
                    <w:tl2br w:val="nil"/>
                    <w:tr2bl w:val="nil"/>
                  </w:tcBorders>
                  <w:noWrap w:val="0"/>
                  <w:vAlign w:val="center"/>
                </w:tcPr>
                <w:p w14:paraId="09FD51FC">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p>
              </w:tc>
            </w:tr>
            <w:tr w14:paraId="695F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350" w:type="dxa"/>
                  <w:tcBorders>
                    <w:tl2br w:val="nil"/>
                    <w:tr2bl w:val="nil"/>
                  </w:tcBorders>
                  <w:noWrap w:val="0"/>
                  <w:vAlign w:val="center"/>
                </w:tcPr>
                <w:p w14:paraId="1DEDEF8E">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样品编号</w:t>
                  </w:r>
                </w:p>
              </w:tc>
              <w:tc>
                <w:tcPr>
                  <w:tcW w:w="1152" w:type="dxa"/>
                  <w:tcBorders>
                    <w:tl2br w:val="nil"/>
                    <w:tr2bl w:val="nil"/>
                  </w:tcBorders>
                  <w:noWrap w:val="0"/>
                  <w:vAlign w:val="center"/>
                </w:tcPr>
                <w:p w14:paraId="66E97156">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FS20240910001-1-1-1</w:t>
                  </w:r>
                </w:p>
              </w:tc>
              <w:tc>
                <w:tcPr>
                  <w:tcW w:w="1152" w:type="dxa"/>
                  <w:tcBorders>
                    <w:tl2br w:val="nil"/>
                    <w:tr2bl w:val="nil"/>
                  </w:tcBorders>
                  <w:noWrap w:val="0"/>
                  <w:vAlign w:val="center"/>
                </w:tcPr>
                <w:p w14:paraId="11F2FBC8">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FS20240910001-1-1-2</w:t>
                  </w:r>
                </w:p>
              </w:tc>
              <w:tc>
                <w:tcPr>
                  <w:tcW w:w="1227" w:type="dxa"/>
                  <w:tcBorders>
                    <w:tl2br w:val="nil"/>
                    <w:tr2bl w:val="nil"/>
                  </w:tcBorders>
                  <w:noWrap w:val="0"/>
                  <w:vAlign w:val="center"/>
                </w:tcPr>
                <w:p w14:paraId="25414540">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FS20240910001-1-1-3</w:t>
                  </w:r>
                </w:p>
              </w:tc>
              <w:tc>
                <w:tcPr>
                  <w:tcW w:w="1184" w:type="dxa"/>
                  <w:tcBorders>
                    <w:tl2br w:val="nil"/>
                    <w:tr2bl w:val="nil"/>
                  </w:tcBorders>
                  <w:noWrap w:val="0"/>
                  <w:vAlign w:val="center"/>
                </w:tcPr>
                <w:p w14:paraId="6CF084D9">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FS20240910001-1-1-4</w:t>
                  </w:r>
                </w:p>
              </w:tc>
              <w:tc>
                <w:tcPr>
                  <w:tcW w:w="868" w:type="dxa"/>
                  <w:vMerge w:val="continue"/>
                  <w:tcBorders>
                    <w:tl2br w:val="nil"/>
                    <w:tr2bl w:val="nil"/>
                  </w:tcBorders>
                  <w:noWrap w:val="0"/>
                  <w:vAlign w:val="center"/>
                </w:tcPr>
                <w:p w14:paraId="6BF9C9FB">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p>
              </w:tc>
              <w:tc>
                <w:tcPr>
                  <w:tcW w:w="686" w:type="dxa"/>
                  <w:vMerge w:val="continue"/>
                  <w:tcBorders>
                    <w:tl2br w:val="nil"/>
                    <w:tr2bl w:val="nil"/>
                  </w:tcBorders>
                  <w:noWrap w:val="0"/>
                  <w:vAlign w:val="center"/>
                </w:tcPr>
                <w:p w14:paraId="44AA38F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p>
              </w:tc>
            </w:tr>
            <w:tr w14:paraId="7C70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6EDF4878">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pH值（无量纲）</w:t>
                  </w:r>
                </w:p>
              </w:tc>
              <w:tc>
                <w:tcPr>
                  <w:tcW w:w="1152" w:type="dxa"/>
                  <w:tcBorders>
                    <w:tl2br w:val="nil"/>
                    <w:tr2bl w:val="nil"/>
                  </w:tcBorders>
                  <w:noWrap w:val="0"/>
                  <w:vAlign w:val="center"/>
                </w:tcPr>
                <w:p w14:paraId="53BC25A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7.3</w:t>
                  </w:r>
                </w:p>
              </w:tc>
              <w:tc>
                <w:tcPr>
                  <w:tcW w:w="1152" w:type="dxa"/>
                  <w:tcBorders>
                    <w:tl2br w:val="nil"/>
                    <w:tr2bl w:val="nil"/>
                  </w:tcBorders>
                  <w:noWrap w:val="0"/>
                  <w:vAlign w:val="center"/>
                </w:tcPr>
                <w:p w14:paraId="571E3F3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7.2</w:t>
                  </w:r>
                </w:p>
              </w:tc>
              <w:tc>
                <w:tcPr>
                  <w:tcW w:w="1227" w:type="dxa"/>
                  <w:tcBorders>
                    <w:tl2br w:val="nil"/>
                    <w:tr2bl w:val="nil"/>
                  </w:tcBorders>
                  <w:noWrap w:val="0"/>
                  <w:vAlign w:val="center"/>
                </w:tcPr>
                <w:p w14:paraId="4FE3A2E5">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7.2</w:t>
                  </w:r>
                </w:p>
              </w:tc>
              <w:tc>
                <w:tcPr>
                  <w:tcW w:w="1184" w:type="dxa"/>
                  <w:tcBorders>
                    <w:tl2br w:val="nil"/>
                    <w:tr2bl w:val="nil"/>
                  </w:tcBorders>
                  <w:noWrap w:val="0"/>
                  <w:vAlign w:val="center"/>
                </w:tcPr>
                <w:p w14:paraId="24D582B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7.2</w:t>
                  </w:r>
                </w:p>
              </w:tc>
              <w:tc>
                <w:tcPr>
                  <w:tcW w:w="868" w:type="dxa"/>
                  <w:tcBorders>
                    <w:tl2br w:val="nil"/>
                    <w:tr2bl w:val="nil"/>
                  </w:tcBorders>
                  <w:noWrap w:val="0"/>
                  <w:vAlign w:val="center"/>
                </w:tcPr>
                <w:p w14:paraId="7DA2102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rPr>
                    <w:t>6.0~9.0</w:t>
                  </w:r>
                </w:p>
              </w:tc>
              <w:tc>
                <w:tcPr>
                  <w:tcW w:w="686" w:type="dxa"/>
                  <w:tcBorders>
                    <w:tl2br w:val="nil"/>
                    <w:tr2bl w:val="nil"/>
                  </w:tcBorders>
                  <w:noWrap w:val="0"/>
                  <w:vAlign w:val="center"/>
                </w:tcPr>
                <w:p w14:paraId="1E2B0B2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093D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08C245AE">
                  <w:pPr>
                    <w:autoSpaceDN w:val="0"/>
                    <w:ind w:left="0"/>
                    <w:jc w:val="center"/>
                    <w:textAlignment w:val="center"/>
                    <w:rPr>
                      <w:rFonts w:hint="default" w:ascii="Times New Roman" w:hAnsi="Times New Roman" w:eastAsia="宋体" w:cs="Times New Roman"/>
                      <w:b w:val="0"/>
                      <w:bCs w:val="0"/>
                      <w:color w:val="auto"/>
                      <w:spacing w:val="0"/>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bidi="ar-SA"/>
                    </w:rPr>
                    <w:t>溶解氧</w:t>
                  </w:r>
                </w:p>
              </w:tc>
              <w:tc>
                <w:tcPr>
                  <w:tcW w:w="1152" w:type="dxa"/>
                  <w:tcBorders>
                    <w:tl2br w:val="nil"/>
                    <w:tr2bl w:val="nil"/>
                  </w:tcBorders>
                  <w:noWrap w:val="0"/>
                  <w:vAlign w:val="center"/>
                </w:tcPr>
                <w:p w14:paraId="46A7F83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5.4</w:t>
                  </w:r>
                </w:p>
              </w:tc>
              <w:tc>
                <w:tcPr>
                  <w:tcW w:w="1152" w:type="dxa"/>
                  <w:tcBorders>
                    <w:tl2br w:val="nil"/>
                    <w:tr2bl w:val="nil"/>
                  </w:tcBorders>
                  <w:noWrap w:val="0"/>
                  <w:vAlign w:val="center"/>
                </w:tcPr>
                <w:p w14:paraId="4656FEA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5.1</w:t>
                  </w:r>
                </w:p>
              </w:tc>
              <w:tc>
                <w:tcPr>
                  <w:tcW w:w="1227" w:type="dxa"/>
                  <w:tcBorders>
                    <w:tl2br w:val="nil"/>
                    <w:tr2bl w:val="nil"/>
                  </w:tcBorders>
                  <w:noWrap w:val="0"/>
                  <w:vAlign w:val="center"/>
                </w:tcPr>
                <w:p w14:paraId="0DBC7506">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5.6</w:t>
                  </w:r>
                </w:p>
              </w:tc>
              <w:tc>
                <w:tcPr>
                  <w:tcW w:w="1184" w:type="dxa"/>
                  <w:tcBorders>
                    <w:tl2br w:val="nil"/>
                    <w:tr2bl w:val="nil"/>
                  </w:tcBorders>
                  <w:noWrap w:val="0"/>
                  <w:vAlign w:val="center"/>
                </w:tcPr>
                <w:p w14:paraId="789B5C9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5.3</w:t>
                  </w:r>
                </w:p>
              </w:tc>
              <w:tc>
                <w:tcPr>
                  <w:tcW w:w="868" w:type="dxa"/>
                  <w:tcBorders>
                    <w:tl2br w:val="nil"/>
                    <w:tr2bl w:val="nil"/>
                  </w:tcBorders>
                  <w:noWrap w:val="0"/>
                  <w:vAlign w:val="center"/>
                </w:tcPr>
                <w:p w14:paraId="55E72270">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2.0</w:t>
                  </w:r>
                </w:p>
              </w:tc>
              <w:tc>
                <w:tcPr>
                  <w:tcW w:w="686" w:type="dxa"/>
                  <w:tcBorders>
                    <w:tl2br w:val="nil"/>
                    <w:tr2bl w:val="nil"/>
                  </w:tcBorders>
                  <w:noWrap w:val="0"/>
                  <w:vAlign w:val="center"/>
                </w:tcPr>
                <w:p w14:paraId="724F302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2E82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6F0B5A03">
                  <w:pPr>
                    <w:autoSpaceDN w:val="0"/>
                    <w:ind w:left="0"/>
                    <w:jc w:val="center"/>
                    <w:textAlignment w:val="center"/>
                    <w:rPr>
                      <w:rFonts w:hint="default" w:ascii="Times New Roman" w:hAnsi="Times New Roman" w:eastAsia="宋体" w:cs="Times New Roman"/>
                      <w:b w:val="0"/>
                      <w:bCs w:val="0"/>
                      <w:color w:val="auto"/>
                      <w:spacing w:val="0"/>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bidi="ar-SA"/>
                    </w:rPr>
                    <w:t>总氯</w:t>
                  </w:r>
                </w:p>
              </w:tc>
              <w:tc>
                <w:tcPr>
                  <w:tcW w:w="1152" w:type="dxa"/>
                  <w:tcBorders>
                    <w:tl2br w:val="nil"/>
                    <w:tr2bl w:val="nil"/>
                  </w:tcBorders>
                  <w:noWrap w:val="0"/>
                  <w:vAlign w:val="center"/>
                </w:tcPr>
                <w:p w14:paraId="708C9F3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1.46</w:t>
                  </w:r>
                </w:p>
              </w:tc>
              <w:tc>
                <w:tcPr>
                  <w:tcW w:w="1152" w:type="dxa"/>
                  <w:tcBorders>
                    <w:tl2br w:val="nil"/>
                    <w:tr2bl w:val="nil"/>
                  </w:tcBorders>
                  <w:noWrap w:val="0"/>
                  <w:vAlign w:val="center"/>
                </w:tcPr>
                <w:p w14:paraId="00B8D0A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1.47</w:t>
                  </w:r>
                </w:p>
              </w:tc>
              <w:tc>
                <w:tcPr>
                  <w:tcW w:w="1227" w:type="dxa"/>
                  <w:tcBorders>
                    <w:tl2br w:val="nil"/>
                    <w:tr2bl w:val="nil"/>
                  </w:tcBorders>
                  <w:noWrap w:val="0"/>
                  <w:vAlign w:val="center"/>
                </w:tcPr>
                <w:p w14:paraId="1B05981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1.47</w:t>
                  </w:r>
                </w:p>
              </w:tc>
              <w:tc>
                <w:tcPr>
                  <w:tcW w:w="1184" w:type="dxa"/>
                  <w:tcBorders>
                    <w:tl2br w:val="nil"/>
                    <w:tr2bl w:val="nil"/>
                  </w:tcBorders>
                  <w:noWrap w:val="0"/>
                  <w:vAlign w:val="center"/>
                </w:tcPr>
                <w:p w14:paraId="569829C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1.48</w:t>
                  </w:r>
                </w:p>
              </w:tc>
              <w:tc>
                <w:tcPr>
                  <w:tcW w:w="868" w:type="dxa"/>
                  <w:tcBorders>
                    <w:tl2br w:val="nil"/>
                    <w:tr2bl w:val="nil"/>
                  </w:tcBorders>
                  <w:noWrap w:val="0"/>
                  <w:vAlign w:val="center"/>
                </w:tcPr>
                <w:p w14:paraId="61CBA8B4">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1.0</w:t>
                  </w:r>
                </w:p>
              </w:tc>
              <w:tc>
                <w:tcPr>
                  <w:tcW w:w="686" w:type="dxa"/>
                  <w:tcBorders>
                    <w:tl2br w:val="nil"/>
                    <w:tr2bl w:val="nil"/>
                  </w:tcBorders>
                  <w:noWrap w:val="0"/>
                  <w:vAlign w:val="center"/>
                </w:tcPr>
                <w:p w14:paraId="041968B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2F32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2CA69367">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色度（倍）</w:t>
                  </w:r>
                </w:p>
              </w:tc>
              <w:tc>
                <w:tcPr>
                  <w:tcW w:w="1152" w:type="dxa"/>
                  <w:tcBorders>
                    <w:tl2br w:val="nil"/>
                    <w:tr2bl w:val="nil"/>
                  </w:tcBorders>
                  <w:noWrap w:val="0"/>
                  <w:vAlign w:val="center"/>
                </w:tcPr>
                <w:p w14:paraId="6275765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1152" w:type="dxa"/>
                  <w:tcBorders>
                    <w:tl2br w:val="nil"/>
                    <w:tr2bl w:val="nil"/>
                  </w:tcBorders>
                  <w:noWrap w:val="0"/>
                  <w:vAlign w:val="center"/>
                </w:tcPr>
                <w:p w14:paraId="29A8505B">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1227" w:type="dxa"/>
                  <w:tcBorders>
                    <w:tl2br w:val="nil"/>
                    <w:tr2bl w:val="nil"/>
                  </w:tcBorders>
                  <w:noWrap w:val="0"/>
                  <w:vAlign w:val="center"/>
                </w:tcPr>
                <w:p w14:paraId="0C1F6A16">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1184" w:type="dxa"/>
                  <w:tcBorders>
                    <w:tl2br w:val="nil"/>
                    <w:tr2bl w:val="nil"/>
                  </w:tcBorders>
                  <w:noWrap w:val="0"/>
                  <w:vAlign w:val="center"/>
                </w:tcPr>
                <w:p w14:paraId="03567B4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868" w:type="dxa"/>
                  <w:tcBorders>
                    <w:tl2br w:val="nil"/>
                    <w:tr2bl w:val="nil"/>
                  </w:tcBorders>
                  <w:noWrap w:val="0"/>
                  <w:vAlign w:val="center"/>
                </w:tcPr>
                <w:p w14:paraId="6A9D941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≤30</w:t>
                  </w:r>
                </w:p>
              </w:tc>
              <w:tc>
                <w:tcPr>
                  <w:tcW w:w="686" w:type="dxa"/>
                  <w:tcBorders>
                    <w:tl2br w:val="nil"/>
                    <w:tr2bl w:val="nil"/>
                  </w:tcBorders>
                  <w:noWrap w:val="0"/>
                  <w:vAlign w:val="center"/>
                </w:tcPr>
                <w:p w14:paraId="09D4536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1412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66F7C0A6">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五日生化需氧量</w:t>
                  </w:r>
                </w:p>
              </w:tc>
              <w:tc>
                <w:tcPr>
                  <w:tcW w:w="1152" w:type="dxa"/>
                  <w:tcBorders>
                    <w:tl2br w:val="nil"/>
                    <w:tr2bl w:val="nil"/>
                  </w:tcBorders>
                  <w:noWrap w:val="0"/>
                  <w:vAlign w:val="center"/>
                </w:tcPr>
                <w:p w14:paraId="2B0CBFC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1.7</w:t>
                  </w:r>
                </w:p>
              </w:tc>
              <w:tc>
                <w:tcPr>
                  <w:tcW w:w="1152" w:type="dxa"/>
                  <w:tcBorders>
                    <w:tl2br w:val="nil"/>
                    <w:tr2bl w:val="nil"/>
                  </w:tcBorders>
                  <w:noWrap w:val="0"/>
                  <w:vAlign w:val="center"/>
                </w:tcPr>
                <w:p w14:paraId="218AC90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2.0</w:t>
                  </w:r>
                </w:p>
              </w:tc>
              <w:tc>
                <w:tcPr>
                  <w:tcW w:w="1227" w:type="dxa"/>
                  <w:tcBorders>
                    <w:tl2br w:val="nil"/>
                    <w:tr2bl w:val="nil"/>
                  </w:tcBorders>
                  <w:noWrap w:val="0"/>
                  <w:vAlign w:val="center"/>
                </w:tcPr>
                <w:p w14:paraId="2886089C">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1.8</w:t>
                  </w:r>
                </w:p>
              </w:tc>
              <w:tc>
                <w:tcPr>
                  <w:tcW w:w="1184" w:type="dxa"/>
                  <w:tcBorders>
                    <w:tl2br w:val="nil"/>
                    <w:tr2bl w:val="nil"/>
                  </w:tcBorders>
                  <w:noWrap w:val="0"/>
                  <w:vAlign w:val="center"/>
                </w:tcPr>
                <w:p w14:paraId="097CE14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2.1</w:t>
                  </w:r>
                </w:p>
              </w:tc>
              <w:tc>
                <w:tcPr>
                  <w:tcW w:w="868" w:type="dxa"/>
                  <w:tcBorders>
                    <w:tl2br w:val="nil"/>
                    <w:tr2bl w:val="nil"/>
                  </w:tcBorders>
                  <w:noWrap w:val="0"/>
                  <w:vAlign w:val="center"/>
                </w:tcPr>
                <w:p w14:paraId="77EC5EAC">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≤10</w:t>
                  </w:r>
                </w:p>
              </w:tc>
              <w:tc>
                <w:tcPr>
                  <w:tcW w:w="686" w:type="dxa"/>
                  <w:tcBorders>
                    <w:tl2br w:val="nil"/>
                    <w:tr2bl w:val="nil"/>
                  </w:tcBorders>
                  <w:noWrap w:val="0"/>
                  <w:vAlign w:val="center"/>
                </w:tcPr>
                <w:p w14:paraId="3CEF9AA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5E6D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6EB641B3">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氨氮</w:t>
                  </w:r>
                </w:p>
              </w:tc>
              <w:tc>
                <w:tcPr>
                  <w:tcW w:w="1152" w:type="dxa"/>
                  <w:tcBorders>
                    <w:tl2br w:val="nil"/>
                    <w:tr2bl w:val="nil"/>
                  </w:tcBorders>
                  <w:noWrap w:val="0"/>
                  <w:vAlign w:val="center"/>
                </w:tcPr>
                <w:p w14:paraId="4FCDD53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0.032</w:t>
                  </w:r>
                </w:p>
              </w:tc>
              <w:tc>
                <w:tcPr>
                  <w:tcW w:w="1152" w:type="dxa"/>
                  <w:tcBorders>
                    <w:tl2br w:val="nil"/>
                    <w:tr2bl w:val="nil"/>
                  </w:tcBorders>
                  <w:noWrap w:val="0"/>
                  <w:vAlign w:val="center"/>
                </w:tcPr>
                <w:p w14:paraId="325EA84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0.044</w:t>
                  </w:r>
                </w:p>
              </w:tc>
              <w:tc>
                <w:tcPr>
                  <w:tcW w:w="1227" w:type="dxa"/>
                  <w:tcBorders>
                    <w:tl2br w:val="nil"/>
                    <w:tr2bl w:val="nil"/>
                  </w:tcBorders>
                  <w:noWrap w:val="0"/>
                  <w:vAlign w:val="center"/>
                </w:tcPr>
                <w:p w14:paraId="517BD64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0.029</w:t>
                  </w:r>
                </w:p>
              </w:tc>
              <w:tc>
                <w:tcPr>
                  <w:tcW w:w="1184" w:type="dxa"/>
                  <w:tcBorders>
                    <w:tl2br w:val="nil"/>
                    <w:tr2bl w:val="nil"/>
                  </w:tcBorders>
                  <w:noWrap w:val="0"/>
                  <w:vAlign w:val="center"/>
                </w:tcPr>
                <w:p w14:paraId="2BE2B8EC">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0.035</w:t>
                  </w:r>
                </w:p>
              </w:tc>
              <w:tc>
                <w:tcPr>
                  <w:tcW w:w="868" w:type="dxa"/>
                  <w:tcBorders>
                    <w:tl2br w:val="nil"/>
                    <w:tr2bl w:val="nil"/>
                  </w:tcBorders>
                  <w:noWrap w:val="0"/>
                  <w:vAlign w:val="center"/>
                </w:tcPr>
                <w:p w14:paraId="2B395C8B">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≤8</w:t>
                  </w:r>
                </w:p>
              </w:tc>
              <w:tc>
                <w:tcPr>
                  <w:tcW w:w="686" w:type="dxa"/>
                  <w:tcBorders>
                    <w:tl2br w:val="nil"/>
                    <w:tr2bl w:val="nil"/>
                  </w:tcBorders>
                  <w:noWrap w:val="0"/>
                  <w:vAlign w:val="center"/>
                </w:tcPr>
                <w:p w14:paraId="6F1B1D2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1494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3C306D59">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阴离子表面活性剂</w:t>
                  </w:r>
                </w:p>
              </w:tc>
              <w:tc>
                <w:tcPr>
                  <w:tcW w:w="1152" w:type="dxa"/>
                  <w:tcBorders>
                    <w:tl2br w:val="nil"/>
                    <w:tr2bl w:val="nil"/>
                  </w:tcBorders>
                  <w:noWrap w:val="0"/>
                  <w:vAlign w:val="center"/>
                </w:tcPr>
                <w:p w14:paraId="54B7A70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0.057</w:t>
                  </w:r>
                </w:p>
              </w:tc>
              <w:tc>
                <w:tcPr>
                  <w:tcW w:w="1152" w:type="dxa"/>
                  <w:tcBorders>
                    <w:tl2br w:val="nil"/>
                    <w:tr2bl w:val="nil"/>
                  </w:tcBorders>
                  <w:noWrap w:val="0"/>
                  <w:vAlign w:val="center"/>
                </w:tcPr>
                <w:p w14:paraId="0B25328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0.059</w:t>
                  </w:r>
                </w:p>
              </w:tc>
              <w:tc>
                <w:tcPr>
                  <w:tcW w:w="1227" w:type="dxa"/>
                  <w:tcBorders>
                    <w:tl2br w:val="nil"/>
                    <w:tr2bl w:val="nil"/>
                  </w:tcBorders>
                  <w:noWrap w:val="0"/>
                  <w:vAlign w:val="center"/>
                </w:tcPr>
                <w:p w14:paraId="5BD50A2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0.061</w:t>
                  </w:r>
                </w:p>
              </w:tc>
              <w:tc>
                <w:tcPr>
                  <w:tcW w:w="1184" w:type="dxa"/>
                  <w:tcBorders>
                    <w:tl2br w:val="nil"/>
                    <w:tr2bl w:val="nil"/>
                  </w:tcBorders>
                  <w:noWrap w:val="0"/>
                  <w:vAlign w:val="center"/>
                </w:tcPr>
                <w:p w14:paraId="3A20483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0.059</w:t>
                  </w:r>
                </w:p>
              </w:tc>
              <w:tc>
                <w:tcPr>
                  <w:tcW w:w="868" w:type="dxa"/>
                  <w:tcBorders>
                    <w:tl2br w:val="nil"/>
                    <w:tr2bl w:val="nil"/>
                  </w:tcBorders>
                  <w:noWrap w:val="0"/>
                  <w:vAlign w:val="center"/>
                </w:tcPr>
                <w:p w14:paraId="1317486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≤0.5</w:t>
                  </w:r>
                </w:p>
              </w:tc>
              <w:tc>
                <w:tcPr>
                  <w:tcW w:w="686" w:type="dxa"/>
                  <w:tcBorders>
                    <w:tl2br w:val="nil"/>
                    <w:tr2bl w:val="nil"/>
                  </w:tcBorders>
                  <w:noWrap w:val="0"/>
                  <w:vAlign w:val="center"/>
                </w:tcPr>
                <w:p w14:paraId="56C15A1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7C8C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50" w:type="dxa"/>
                  <w:tcBorders>
                    <w:tl2br w:val="nil"/>
                    <w:tr2bl w:val="nil"/>
                  </w:tcBorders>
                  <w:noWrap w:val="0"/>
                  <w:vAlign w:val="center"/>
                </w:tcPr>
                <w:p w14:paraId="4128178A">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溶解性总固体</w:t>
                  </w:r>
                </w:p>
              </w:tc>
              <w:tc>
                <w:tcPr>
                  <w:tcW w:w="1152" w:type="dxa"/>
                  <w:tcBorders>
                    <w:tl2br w:val="nil"/>
                    <w:tr2bl w:val="nil"/>
                  </w:tcBorders>
                  <w:noWrap w:val="0"/>
                  <w:vAlign w:val="center"/>
                </w:tcPr>
                <w:p w14:paraId="49BC33FC">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134</w:t>
                  </w:r>
                </w:p>
              </w:tc>
              <w:tc>
                <w:tcPr>
                  <w:tcW w:w="1152" w:type="dxa"/>
                  <w:tcBorders>
                    <w:tl2br w:val="nil"/>
                    <w:tr2bl w:val="nil"/>
                  </w:tcBorders>
                  <w:noWrap w:val="0"/>
                  <w:vAlign w:val="center"/>
                </w:tcPr>
                <w:p w14:paraId="0D86319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138</w:t>
                  </w:r>
                </w:p>
              </w:tc>
              <w:tc>
                <w:tcPr>
                  <w:tcW w:w="1227" w:type="dxa"/>
                  <w:tcBorders>
                    <w:tl2br w:val="nil"/>
                    <w:tr2bl w:val="nil"/>
                  </w:tcBorders>
                  <w:noWrap w:val="0"/>
                  <w:vAlign w:val="center"/>
                </w:tcPr>
                <w:p w14:paraId="6D6F302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135</w:t>
                  </w:r>
                </w:p>
              </w:tc>
              <w:tc>
                <w:tcPr>
                  <w:tcW w:w="1184" w:type="dxa"/>
                  <w:tcBorders>
                    <w:tl2br w:val="nil"/>
                    <w:tr2bl w:val="nil"/>
                  </w:tcBorders>
                  <w:noWrap w:val="0"/>
                  <w:vAlign w:val="center"/>
                </w:tcPr>
                <w:p w14:paraId="7B65134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131</w:t>
                  </w:r>
                </w:p>
              </w:tc>
              <w:tc>
                <w:tcPr>
                  <w:tcW w:w="868" w:type="dxa"/>
                  <w:tcBorders>
                    <w:tl2br w:val="nil"/>
                    <w:tr2bl w:val="nil"/>
                  </w:tcBorders>
                  <w:noWrap w:val="0"/>
                  <w:vAlign w:val="center"/>
                </w:tcPr>
                <w:p w14:paraId="1AE96A5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≤1000</w:t>
                  </w:r>
                </w:p>
              </w:tc>
              <w:tc>
                <w:tcPr>
                  <w:tcW w:w="686" w:type="dxa"/>
                  <w:tcBorders>
                    <w:tl2br w:val="nil"/>
                    <w:tr2bl w:val="nil"/>
                  </w:tcBorders>
                  <w:noWrap w:val="0"/>
                  <w:vAlign w:val="center"/>
                </w:tcPr>
                <w:p w14:paraId="4A0CAAA0">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5501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350" w:type="dxa"/>
                  <w:tcBorders>
                    <w:tl2br w:val="nil"/>
                    <w:tr2bl w:val="nil"/>
                  </w:tcBorders>
                  <w:noWrap w:val="0"/>
                  <w:vAlign w:val="center"/>
                </w:tcPr>
                <w:p w14:paraId="0CB1B98C">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大肠埃希氏菌（MPN/100mL）</w:t>
                  </w:r>
                </w:p>
              </w:tc>
              <w:tc>
                <w:tcPr>
                  <w:tcW w:w="1152" w:type="dxa"/>
                  <w:tcBorders>
                    <w:tl2br w:val="nil"/>
                    <w:tr2bl w:val="nil"/>
                  </w:tcBorders>
                  <w:noWrap w:val="0"/>
                  <w:vAlign w:val="center"/>
                </w:tcPr>
                <w:p w14:paraId="0EDEEB4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1152" w:type="dxa"/>
                  <w:tcBorders>
                    <w:tl2br w:val="nil"/>
                    <w:tr2bl w:val="nil"/>
                  </w:tcBorders>
                  <w:noWrap w:val="0"/>
                  <w:vAlign w:val="center"/>
                </w:tcPr>
                <w:p w14:paraId="51962C9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1227" w:type="dxa"/>
                  <w:tcBorders>
                    <w:tl2br w:val="nil"/>
                    <w:tr2bl w:val="nil"/>
                  </w:tcBorders>
                  <w:noWrap w:val="0"/>
                  <w:vAlign w:val="center"/>
                </w:tcPr>
                <w:p w14:paraId="4AF33A6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1184" w:type="dxa"/>
                  <w:tcBorders>
                    <w:tl2br w:val="nil"/>
                    <w:tr2bl w:val="nil"/>
                  </w:tcBorders>
                  <w:noWrap w:val="0"/>
                  <w:vAlign w:val="center"/>
                </w:tcPr>
                <w:p w14:paraId="359F54A5">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868" w:type="dxa"/>
                  <w:tcBorders>
                    <w:tl2br w:val="nil"/>
                    <w:tr2bl w:val="nil"/>
                  </w:tcBorders>
                  <w:noWrap w:val="0"/>
                  <w:vAlign w:val="center"/>
                </w:tcPr>
                <w:p w14:paraId="685AB2F4">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rPr>
                    <w:t>不应检出</w:t>
                  </w:r>
                </w:p>
              </w:tc>
              <w:tc>
                <w:tcPr>
                  <w:tcW w:w="686" w:type="dxa"/>
                  <w:tcBorders>
                    <w:tl2br w:val="nil"/>
                    <w:tr2bl w:val="nil"/>
                  </w:tcBorders>
                  <w:noWrap w:val="0"/>
                  <w:vAlign w:val="center"/>
                </w:tcPr>
                <w:p w14:paraId="3B7C5EB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2A3D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350" w:type="dxa"/>
                  <w:tcBorders>
                    <w:tl2br w:val="nil"/>
                    <w:tr2bl w:val="nil"/>
                  </w:tcBorders>
                  <w:noWrap w:val="0"/>
                  <w:vAlign w:val="center"/>
                </w:tcPr>
                <w:p w14:paraId="1893F827">
                  <w:pPr>
                    <w:autoSpaceDN w:val="0"/>
                    <w:ind w:left="0"/>
                    <w:jc w:val="center"/>
                    <w:textAlignment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bidi="ar-SA"/>
                    </w:rPr>
                    <w:t>嗅和味（无量纲）</w:t>
                  </w:r>
                </w:p>
              </w:tc>
              <w:tc>
                <w:tcPr>
                  <w:tcW w:w="1152" w:type="dxa"/>
                  <w:tcBorders>
                    <w:tl2br w:val="nil"/>
                    <w:tr2bl w:val="nil"/>
                  </w:tcBorders>
                  <w:noWrap w:val="0"/>
                  <w:vAlign w:val="center"/>
                </w:tcPr>
                <w:p w14:paraId="26B2A78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1152" w:type="dxa"/>
                  <w:tcBorders>
                    <w:tl2br w:val="nil"/>
                    <w:tr2bl w:val="nil"/>
                  </w:tcBorders>
                  <w:noWrap w:val="0"/>
                  <w:vAlign w:val="center"/>
                </w:tcPr>
                <w:p w14:paraId="7F62DAC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1227" w:type="dxa"/>
                  <w:tcBorders>
                    <w:tl2br w:val="nil"/>
                    <w:tr2bl w:val="nil"/>
                  </w:tcBorders>
                  <w:noWrap w:val="0"/>
                  <w:vAlign w:val="center"/>
                </w:tcPr>
                <w:p w14:paraId="48C4108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1184" w:type="dxa"/>
                  <w:tcBorders>
                    <w:tl2br w:val="nil"/>
                    <w:tr2bl w:val="nil"/>
                  </w:tcBorders>
                  <w:noWrap w:val="0"/>
                  <w:vAlign w:val="center"/>
                </w:tcPr>
                <w:p w14:paraId="47A79E3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868" w:type="dxa"/>
                  <w:tcBorders>
                    <w:tl2br w:val="nil"/>
                    <w:tr2bl w:val="nil"/>
                  </w:tcBorders>
                  <w:noWrap w:val="0"/>
                  <w:vAlign w:val="center"/>
                </w:tcPr>
                <w:p w14:paraId="0C1EBAE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rPr>
                    <w:t>无不快感</w:t>
                  </w:r>
                </w:p>
              </w:tc>
              <w:tc>
                <w:tcPr>
                  <w:tcW w:w="686" w:type="dxa"/>
                  <w:tcBorders>
                    <w:tl2br w:val="nil"/>
                    <w:tr2bl w:val="nil"/>
                  </w:tcBorders>
                  <w:noWrap w:val="0"/>
                  <w:vAlign w:val="center"/>
                </w:tcPr>
                <w:p w14:paraId="3F222B1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bl>
          <w:p w14:paraId="72F48031">
            <w:pPr>
              <w:spacing w:line="36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4-3   废水</w:t>
            </w:r>
            <w:r>
              <w:rPr>
                <w:rFonts w:hint="default" w:ascii="Times New Roman" w:hAnsi="Times New Roman" w:eastAsia="宋体" w:cs="Times New Roman"/>
                <w:b/>
                <w:color w:val="auto"/>
                <w:sz w:val="24"/>
                <w:szCs w:val="24"/>
                <w:highlight w:val="none"/>
              </w:rPr>
              <w:t>检测结果</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2024.09.13</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一览表</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val="en-US" w:eastAsia="zh-CN"/>
              </w:rPr>
              <w:t>单位：</w:t>
            </w:r>
            <w:r>
              <w:rPr>
                <w:rFonts w:hint="default" w:ascii="Times New Roman" w:hAnsi="Times New Roman" w:eastAsia="宋体" w:cs="Times New Roman"/>
                <w:b/>
                <w:bCs w:val="0"/>
                <w:color w:val="auto"/>
                <w:sz w:val="24"/>
                <w:szCs w:val="24"/>
                <w:highlight w:val="none"/>
              </w:rPr>
              <w:t>mg/L</w:t>
            </w:r>
          </w:p>
          <w:tbl>
            <w:tblPr>
              <w:tblStyle w:val="49"/>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1175"/>
              <w:gridCol w:w="1175"/>
              <w:gridCol w:w="1175"/>
              <w:gridCol w:w="1180"/>
              <w:gridCol w:w="866"/>
              <w:gridCol w:w="684"/>
            </w:tblGrid>
            <w:tr w14:paraId="1952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2D0106F5">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日期</w:t>
                  </w:r>
                </w:p>
              </w:tc>
              <w:tc>
                <w:tcPr>
                  <w:tcW w:w="4705" w:type="dxa"/>
                  <w:gridSpan w:val="4"/>
                  <w:tcBorders>
                    <w:tl2br w:val="nil"/>
                    <w:tr2bl w:val="nil"/>
                  </w:tcBorders>
                  <w:noWrap w:val="0"/>
                  <w:vAlign w:val="center"/>
                </w:tcPr>
                <w:p w14:paraId="38225ED3">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2024/9/13</w:t>
                  </w:r>
                </w:p>
              </w:tc>
              <w:tc>
                <w:tcPr>
                  <w:tcW w:w="866" w:type="dxa"/>
                  <w:vMerge w:val="restart"/>
                  <w:tcBorders>
                    <w:tl2br w:val="nil"/>
                    <w:tr2bl w:val="nil"/>
                  </w:tcBorders>
                  <w:noWrap w:val="0"/>
                  <w:vAlign w:val="center"/>
                </w:tcPr>
                <w:p w14:paraId="2ABB0607">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标准</w:t>
                  </w:r>
                </w:p>
                <w:p w14:paraId="5266957B">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限值</w:t>
                  </w:r>
                </w:p>
              </w:tc>
              <w:tc>
                <w:tcPr>
                  <w:tcW w:w="684" w:type="dxa"/>
                  <w:vMerge w:val="restart"/>
                  <w:tcBorders>
                    <w:tl2br w:val="nil"/>
                    <w:tr2bl w:val="nil"/>
                  </w:tcBorders>
                  <w:noWrap w:val="0"/>
                  <w:vAlign w:val="center"/>
                </w:tcPr>
                <w:p w14:paraId="1AE15E2A">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达标情况</w:t>
                  </w:r>
                </w:p>
              </w:tc>
            </w:tr>
            <w:tr w14:paraId="0F2C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64F93181">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时间</w:t>
                  </w:r>
                </w:p>
              </w:tc>
              <w:tc>
                <w:tcPr>
                  <w:tcW w:w="1175" w:type="dxa"/>
                  <w:tcBorders>
                    <w:tl2br w:val="nil"/>
                    <w:tr2bl w:val="nil"/>
                  </w:tcBorders>
                  <w:noWrap w:val="0"/>
                  <w:vAlign w:val="center"/>
                </w:tcPr>
                <w:p w14:paraId="09F50C3D">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10:17</w:t>
                  </w:r>
                </w:p>
              </w:tc>
              <w:tc>
                <w:tcPr>
                  <w:tcW w:w="1175" w:type="dxa"/>
                  <w:tcBorders>
                    <w:tl2br w:val="nil"/>
                    <w:tr2bl w:val="nil"/>
                  </w:tcBorders>
                  <w:noWrap w:val="0"/>
                  <w:vAlign w:val="center"/>
                </w:tcPr>
                <w:p w14:paraId="374DF16D">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13:01</w:t>
                  </w:r>
                </w:p>
              </w:tc>
              <w:tc>
                <w:tcPr>
                  <w:tcW w:w="1175" w:type="dxa"/>
                  <w:tcBorders>
                    <w:tl2br w:val="nil"/>
                    <w:tr2bl w:val="nil"/>
                  </w:tcBorders>
                  <w:noWrap w:val="0"/>
                  <w:vAlign w:val="center"/>
                </w:tcPr>
                <w:p w14:paraId="6DE6B7CC">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15:20</w:t>
                  </w:r>
                </w:p>
              </w:tc>
              <w:tc>
                <w:tcPr>
                  <w:tcW w:w="1180" w:type="dxa"/>
                  <w:tcBorders>
                    <w:tl2br w:val="nil"/>
                    <w:tr2bl w:val="nil"/>
                  </w:tcBorders>
                  <w:noWrap w:val="0"/>
                  <w:vAlign w:val="center"/>
                </w:tcPr>
                <w:p w14:paraId="21416F73">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17:18</w:t>
                  </w:r>
                </w:p>
              </w:tc>
              <w:tc>
                <w:tcPr>
                  <w:tcW w:w="866" w:type="dxa"/>
                  <w:vMerge w:val="continue"/>
                  <w:tcBorders>
                    <w:tl2br w:val="nil"/>
                    <w:tr2bl w:val="nil"/>
                  </w:tcBorders>
                  <w:noWrap w:val="0"/>
                  <w:vAlign w:val="center"/>
                </w:tcPr>
                <w:p w14:paraId="23C909D1">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p>
              </w:tc>
              <w:tc>
                <w:tcPr>
                  <w:tcW w:w="684" w:type="dxa"/>
                  <w:vMerge w:val="continue"/>
                  <w:tcBorders>
                    <w:tl2br w:val="nil"/>
                    <w:tr2bl w:val="nil"/>
                  </w:tcBorders>
                  <w:noWrap w:val="0"/>
                  <w:vAlign w:val="center"/>
                </w:tcPr>
                <w:p w14:paraId="367B55EC">
                  <w:pPr>
                    <w:ind w:left="0" w:leftChars="0"/>
                    <w:jc w:val="center"/>
                    <w:rPr>
                      <w:rFonts w:hint="default" w:ascii="Times New Roman" w:hAnsi="Times New Roman" w:eastAsia="宋体" w:cs="Times New Roman"/>
                      <w:b w:val="0"/>
                      <w:bCs w:val="0"/>
                      <w:color w:val="auto"/>
                      <w:spacing w:val="-6"/>
                      <w:sz w:val="21"/>
                      <w:szCs w:val="21"/>
                      <w:highlight w:val="none"/>
                      <w:lang w:val="en-US" w:eastAsia="zh-CN"/>
                    </w:rPr>
                  </w:pPr>
                </w:p>
              </w:tc>
            </w:tr>
            <w:tr w14:paraId="6E25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44" w:type="dxa"/>
                  <w:tcBorders>
                    <w:tl2br w:val="nil"/>
                    <w:tr2bl w:val="nil"/>
                  </w:tcBorders>
                  <w:noWrap w:val="0"/>
                  <w:vAlign w:val="center"/>
                </w:tcPr>
                <w:p w14:paraId="3E4AF168">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样品编号</w:t>
                  </w:r>
                </w:p>
              </w:tc>
              <w:tc>
                <w:tcPr>
                  <w:tcW w:w="1175" w:type="dxa"/>
                  <w:tcBorders>
                    <w:tl2br w:val="nil"/>
                    <w:tr2bl w:val="nil"/>
                  </w:tcBorders>
                  <w:noWrap w:val="0"/>
                  <w:vAlign w:val="center"/>
                </w:tcPr>
                <w:p w14:paraId="1612718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FS20240910001-1-2-1</w:t>
                  </w:r>
                </w:p>
              </w:tc>
              <w:tc>
                <w:tcPr>
                  <w:tcW w:w="1175" w:type="dxa"/>
                  <w:tcBorders>
                    <w:tl2br w:val="nil"/>
                    <w:tr2bl w:val="nil"/>
                  </w:tcBorders>
                  <w:noWrap w:val="0"/>
                  <w:vAlign w:val="center"/>
                </w:tcPr>
                <w:p w14:paraId="14BD214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FS20240910001-1-2-2</w:t>
                  </w:r>
                </w:p>
              </w:tc>
              <w:tc>
                <w:tcPr>
                  <w:tcW w:w="1175" w:type="dxa"/>
                  <w:tcBorders>
                    <w:tl2br w:val="nil"/>
                    <w:tr2bl w:val="nil"/>
                  </w:tcBorders>
                  <w:noWrap w:val="0"/>
                  <w:vAlign w:val="center"/>
                </w:tcPr>
                <w:p w14:paraId="11465B2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FS20240910001-1-2-3</w:t>
                  </w:r>
                </w:p>
              </w:tc>
              <w:tc>
                <w:tcPr>
                  <w:tcW w:w="1180" w:type="dxa"/>
                  <w:tcBorders>
                    <w:tl2br w:val="nil"/>
                    <w:tr2bl w:val="nil"/>
                  </w:tcBorders>
                  <w:noWrap w:val="0"/>
                  <w:vAlign w:val="center"/>
                </w:tcPr>
                <w:p w14:paraId="7F0B35B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FS20240910001-1-2-4</w:t>
                  </w:r>
                </w:p>
              </w:tc>
              <w:tc>
                <w:tcPr>
                  <w:tcW w:w="866" w:type="dxa"/>
                  <w:vMerge w:val="continue"/>
                  <w:tcBorders>
                    <w:tl2br w:val="nil"/>
                    <w:tr2bl w:val="nil"/>
                  </w:tcBorders>
                  <w:noWrap w:val="0"/>
                  <w:vAlign w:val="center"/>
                </w:tcPr>
                <w:p w14:paraId="5E73536B">
                  <w:pPr>
                    <w:keepNext w:val="0"/>
                    <w:keepLines w:val="0"/>
                    <w:pageBreakBefore w:val="0"/>
                    <w:widowControl w:val="0"/>
                    <w:kinsoku/>
                    <w:wordWrap/>
                    <w:overflowPunct/>
                    <w:topLinePunct w:val="0"/>
                    <w:autoSpaceDE/>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p>
              </w:tc>
              <w:tc>
                <w:tcPr>
                  <w:tcW w:w="684" w:type="dxa"/>
                  <w:vMerge w:val="continue"/>
                  <w:tcBorders>
                    <w:tl2br w:val="nil"/>
                    <w:tr2bl w:val="nil"/>
                  </w:tcBorders>
                  <w:noWrap w:val="0"/>
                  <w:vAlign w:val="center"/>
                </w:tcPr>
                <w:p w14:paraId="4A3AFCC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p>
              </w:tc>
            </w:tr>
            <w:tr w14:paraId="0F42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6A5D9C12">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pH值（无量纲）</w:t>
                  </w:r>
                </w:p>
              </w:tc>
              <w:tc>
                <w:tcPr>
                  <w:tcW w:w="1175" w:type="dxa"/>
                  <w:tcBorders>
                    <w:tl2br w:val="nil"/>
                    <w:tr2bl w:val="nil"/>
                  </w:tcBorders>
                  <w:noWrap w:val="0"/>
                  <w:vAlign w:val="center"/>
                </w:tcPr>
                <w:p w14:paraId="2A7AE40B">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7.2</w:t>
                  </w:r>
                </w:p>
              </w:tc>
              <w:tc>
                <w:tcPr>
                  <w:tcW w:w="1175" w:type="dxa"/>
                  <w:tcBorders>
                    <w:tl2br w:val="nil"/>
                    <w:tr2bl w:val="nil"/>
                  </w:tcBorders>
                  <w:noWrap w:val="0"/>
                  <w:vAlign w:val="center"/>
                </w:tcPr>
                <w:p w14:paraId="2B8D9264">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7.3</w:t>
                  </w:r>
                </w:p>
              </w:tc>
              <w:tc>
                <w:tcPr>
                  <w:tcW w:w="1175" w:type="dxa"/>
                  <w:tcBorders>
                    <w:tl2br w:val="nil"/>
                    <w:tr2bl w:val="nil"/>
                  </w:tcBorders>
                  <w:noWrap w:val="0"/>
                  <w:vAlign w:val="center"/>
                </w:tcPr>
                <w:p w14:paraId="18A6E2D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7.3</w:t>
                  </w:r>
                </w:p>
              </w:tc>
              <w:tc>
                <w:tcPr>
                  <w:tcW w:w="1180" w:type="dxa"/>
                  <w:tcBorders>
                    <w:tl2br w:val="nil"/>
                    <w:tr2bl w:val="nil"/>
                  </w:tcBorders>
                  <w:noWrap w:val="0"/>
                  <w:vAlign w:val="center"/>
                </w:tcPr>
                <w:p w14:paraId="6C1301D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7.3</w:t>
                  </w:r>
                </w:p>
              </w:tc>
              <w:tc>
                <w:tcPr>
                  <w:tcW w:w="866" w:type="dxa"/>
                  <w:tcBorders>
                    <w:tl2br w:val="nil"/>
                    <w:tr2bl w:val="nil"/>
                  </w:tcBorders>
                  <w:noWrap w:val="0"/>
                  <w:vAlign w:val="center"/>
                </w:tcPr>
                <w:p w14:paraId="342583F4">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rPr>
                    <w:t>6.0~9.0</w:t>
                  </w:r>
                </w:p>
              </w:tc>
              <w:tc>
                <w:tcPr>
                  <w:tcW w:w="684" w:type="dxa"/>
                  <w:tcBorders>
                    <w:tl2br w:val="nil"/>
                    <w:tr2bl w:val="nil"/>
                  </w:tcBorders>
                  <w:noWrap w:val="0"/>
                  <w:vAlign w:val="center"/>
                </w:tcPr>
                <w:p w14:paraId="77EFE4B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4EAE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717E8C93">
                  <w:pPr>
                    <w:autoSpaceDN w:val="0"/>
                    <w:ind w:left="0" w:leftChars="0"/>
                    <w:jc w:val="center"/>
                    <w:textAlignment w:val="center"/>
                    <w:rPr>
                      <w:rFonts w:hint="default" w:ascii="Times New Roman" w:hAnsi="Times New Roman" w:eastAsia="宋体" w:cs="Times New Roman"/>
                      <w:b w:val="0"/>
                      <w:bCs w:val="0"/>
                      <w:color w:val="auto"/>
                      <w:spacing w:val="0"/>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bidi="ar-SA"/>
                    </w:rPr>
                    <w:t>溶解氧</w:t>
                  </w:r>
                </w:p>
              </w:tc>
              <w:tc>
                <w:tcPr>
                  <w:tcW w:w="1175" w:type="dxa"/>
                  <w:tcBorders>
                    <w:tl2br w:val="nil"/>
                    <w:tr2bl w:val="nil"/>
                  </w:tcBorders>
                  <w:noWrap w:val="0"/>
                  <w:vAlign w:val="center"/>
                </w:tcPr>
                <w:p w14:paraId="04971F4C">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5.0</w:t>
                  </w:r>
                </w:p>
              </w:tc>
              <w:tc>
                <w:tcPr>
                  <w:tcW w:w="1175" w:type="dxa"/>
                  <w:tcBorders>
                    <w:tl2br w:val="nil"/>
                    <w:tr2bl w:val="nil"/>
                  </w:tcBorders>
                  <w:noWrap w:val="0"/>
                  <w:vAlign w:val="center"/>
                </w:tcPr>
                <w:p w14:paraId="7B0E110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5.5</w:t>
                  </w:r>
                </w:p>
              </w:tc>
              <w:tc>
                <w:tcPr>
                  <w:tcW w:w="1175" w:type="dxa"/>
                  <w:tcBorders>
                    <w:tl2br w:val="nil"/>
                    <w:tr2bl w:val="nil"/>
                  </w:tcBorders>
                  <w:noWrap w:val="0"/>
                  <w:vAlign w:val="center"/>
                </w:tcPr>
                <w:p w14:paraId="4E437507">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5.2</w:t>
                  </w:r>
                </w:p>
              </w:tc>
              <w:tc>
                <w:tcPr>
                  <w:tcW w:w="1180" w:type="dxa"/>
                  <w:tcBorders>
                    <w:tl2br w:val="nil"/>
                    <w:tr2bl w:val="nil"/>
                  </w:tcBorders>
                  <w:noWrap w:val="0"/>
                  <w:vAlign w:val="center"/>
                </w:tcPr>
                <w:p w14:paraId="5BB72F3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5.4</w:t>
                  </w:r>
                </w:p>
              </w:tc>
              <w:tc>
                <w:tcPr>
                  <w:tcW w:w="866" w:type="dxa"/>
                  <w:tcBorders>
                    <w:tl2br w:val="nil"/>
                    <w:tr2bl w:val="nil"/>
                  </w:tcBorders>
                  <w:noWrap w:val="0"/>
                  <w:vAlign w:val="center"/>
                </w:tcPr>
                <w:p w14:paraId="5A8F099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2.0</w:t>
                  </w:r>
                </w:p>
              </w:tc>
              <w:tc>
                <w:tcPr>
                  <w:tcW w:w="684" w:type="dxa"/>
                  <w:tcBorders>
                    <w:tl2br w:val="nil"/>
                    <w:tr2bl w:val="nil"/>
                  </w:tcBorders>
                  <w:noWrap w:val="0"/>
                  <w:vAlign w:val="center"/>
                </w:tcPr>
                <w:p w14:paraId="600A732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1864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0EAECAFE">
                  <w:pPr>
                    <w:autoSpaceDN w:val="0"/>
                    <w:ind w:left="0" w:leftChars="0"/>
                    <w:jc w:val="center"/>
                    <w:textAlignment w:val="center"/>
                    <w:rPr>
                      <w:rFonts w:hint="default" w:ascii="Times New Roman" w:hAnsi="Times New Roman" w:eastAsia="宋体" w:cs="Times New Roman"/>
                      <w:b w:val="0"/>
                      <w:bCs w:val="0"/>
                      <w:color w:val="auto"/>
                      <w:spacing w:val="0"/>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bidi="ar-SA"/>
                    </w:rPr>
                    <w:t>总氯</w:t>
                  </w:r>
                </w:p>
              </w:tc>
              <w:tc>
                <w:tcPr>
                  <w:tcW w:w="1175" w:type="dxa"/>
                  <w:tcBorders>
                    <w:tl2br w:val="nil"/>
                    <w:tr2bl w:val="nil"/>
                  </w:tcBorders>
                  <w:noWrap w:val="0"/>
                  <w:vAlign w:val="center"/>
                </w:tcPr>
                <w:p w14:paraId="10429F9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1.47</w:t>
                  </w:r>
                </w:p>
              </w:tc>
              <w:tc>
                <w:tcPr>
                  <w:tcW w:w="1175" w:type="dxa"/>
                  <w:tcBorders>
                    <w:tl2br w:val="nil"/>
                    <w:tr2bl w:val="nil"/>
                  </w:tcBorders>
                  <w:noWrap w:val="0"/>
                  <w:vAlign w:val="center"/>
                </w:tcPr>
                <w:p w14:paraId="7686765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1.46</w:t>
                  </w:r>
                </w:p>
              </w:tc>
              <w:tc>
                <w:tcPr>
                  <w:tcW w:w="1175" w:type="dxa"/>
                  <w:tcBorders>
                    <w:tl2br w:val="nil"/>
                    <w:tr2bl w:val="nil"/>
                  </w:tcBorders>
                  <w:noWrap w:val="0"/>
                  <w:vAlign w:val="center"/>
                </w:tcPr>
                <w:p w14:paraId="0E58959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1.48</w:t>
                  </w:r>
                </w:p>
              </w:tc>
              <w:tc>
                <w:tcPr>
                  <w:tcW w:w="1180" w:type="dxa"/>
                  <w:tcBorders>
                    <w:tl2br w:val="nil"/>
                    <w:tr2bl w:val="nil"/>
                  </w:tcBorders>
                  <w:noWrap w:val="0"/>
                  <w:vAlign w:val="center"/>
                </w:tcPr>
                <w:p w14:paraId="70F6EC1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1.48</w:t>
                  </w:r>
                </w:p>
              </w:tc>
              <w:tc>
                <w:tcPr>
                  <w:tcW w:w="866" w:type="dxa"/>
                  <w:tcBorders>
                    <w:tl2br w:val="nil"/>
                    <w:tr2bl w:val="nil"/>
                  </w:tcBorders>
                  <w:noWrap w:val="0"/>
                  <w:vAlign w:val="center"/>
                </w:tcPr>
                <w:p w14:paraId="14AF0FD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1.0</w:t>
                  </w:r>
                </w:p>
              </w:tc>
              <w:tc>
                <w:tcPr>
                  <w:tcW w:w="684" w:type="dxa"/>
                  <w:tcBorders>
                    <w:tl2br w:val="nil"/>
                    <w:tr2bl w:val="nil"/>
                  </w:tcBorders>
                  <w:noWrap w:val="0"/>
                  <w:vAlign w:val="center"/>
                </w:tcPr>
                <w:p w14:paraId="6F60A53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799D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4B34EC44">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色度（倍）</w:t>
                  </w:r>
                </w:p>
              </w:tc>
              <w:tc>
                <w:tcPr>
                  <w:tcW w:w="1175" w:type="dxa"/>
                  <w:tcBorders>
                    <w:tl2br w:val="nil"/>
                    <w:tr2bl w:val="nil"/>
                  </w:tcBorders>
                  <w:noWrap w:val="0"/>
                  <w:vAlign w:val="center"/>
                </w:tcPr>
                <w:p w14:paraId="131D4BB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1175" w:type="dxa"/>
                  <w:tcBorders>
                    <w:tl2br w:val="nil"/>
                    <w:tr2bl w:val="nil"/>
                  </w:tcBorders>
                  <w:noWrap w:val="0"/>
                  <w:vAlign w:val="center"/>
                </w:tcPr>
                <w:p w14:paraId="5FF68680">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1175" w:type="dxa"/>
                  <w:tcBorders>
                    <w:tl2br w:val="nil"/>
                    <w:tr2bl w:val="nil"/>
                  </w:tcBorders>
                  <w:noWrap w:val="0"/>
                  <w:vAlign w:val="center"/>
                </w:tcPr>
                <w:p w14:paraId="086DCE45">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1180" w:type="dxa"/>
                  <w:tcBorders>
                    <w:tl2br w:val="nil"/>
                    <w:tr2bl w:val="nil"/>
                  </w:tcBorders>
                  <w:noWrap w:val="0"/>
                  <w:vAlign w:val="center"/>
                </w:tcPr>
                <w:p w14:paraId="3C2F5C0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866" w:type="dxa"/>
                  <w:tcBorders>
                    <w:tl2br w:val="nil"/>
                    <w:tr2bl w:val="nil"/>
                  </w:tcBorders>
                  <w:noWrap w:val="0"/>
                  <w:vAlign w:val="center"/>
                </w:tcPr>
                <w:p w14:paraId="1E4188B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≤30</w:t>
                  </w:r>
                </w:p>
              </w:tc>
              <w:tc>
                <w:tcPr>
                  <w:tcW w:w="684" w:type="dxa"/>
                  <w:tcBorders>
                    <w:tl2br w:val="nil"/>
                    <w:tr2bl w:val="nil"/>
                  </w:tcBorders>
                  <w:noWrap w:val="0"/>
                  <w:vAlign w:val="center"/>
                </w:tcPr>
                <w:p w14:paraId="4BDD392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5DB8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7BEFA276">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五日生化需氧量</w:t>
                  </w:r>
                </w:p>
              </w:tc>
              <w:tc>
                <w:tcPr>
                  <w:tcW w:w="1175" w:type="dxa"/>
                  <w:tcBorders>
                    <w:tl2br w:val="nil"/>
                    <w:tr2bl w:val="nil"/>
                  </w:tcBorders>
                  <w:noWrap w:val="0"/>
                  <w:vAlign w:val="center"/>
                </w:tcPr>
                <w:p w14:paraId="73EC63F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1.6</w:t>
                  </w:r>
                </w:p>
              </w:tc>
              <w:tc>
                <w:tcPr>
                  <w:tcW w:w="1175" w:type="dxa"/>
                  <w:tcBorders>
                    <w:tl2br w:val="nil"/>
                    <w:tr2bl w:val="nil"/>
                  </w:tcBorders>
                  <w:noWrap w:val="0"/>
                  <w:vAlign w:val="center"/>
                </w:tcPr>
                <w:p w14:paraId="54FAAB2A">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1.9</w:t>
                  </w:r>
                </w:p>
              </w:tc>
              <w:tc>
                <w:tcPr>
                  <w:tcW w:w="1175" w:type="dxa"/>
                  <w:tcBorders>
                    <w:tl2br w:val="nil"/>
                    <w:tr2bl w:val="nil"/>
                  </w:tcBorders>
                  <w:noWrap w:val="0"/>
                  <w:vAlign w:val="center"/>
                </w:tcPr>
                <w:p w14:paraId="2AF3B5A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1.7</w:t>
                  </w:r>
                </w:p>
              </w:tc>
              <w:tc>
                <w:tcPr>
                  <w:tcW w:w="1180" w:type="dxa"/>
                  <w:tcBorders>
                    <w:tl2br w:val="nil"/>
                    <w:tr2bl w:val="nil"/>
                  </w:tcBorders>
                  <w:noWrap w:val="0"/>
                  <w:vAlign w:val="center"/>
                </w:tcPr>
                <w:p w14:paraId="09B7629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2.0</w:t>
                  </w:r>
                </w:p>
              </w:tc>
              <w:tc>
                <w:tcPr>
                  <w:tcW w:w="866" w:type="dxa"/>
                  <w:tcBorders>
                    <w:tl2br w:val="nil"/>
                    <w:tr2bl w:val="nil"/>
                  </w:tcBorders>
                  <w:noWrap w:val="0"/>
                  <w:vAlign w:val="center"/>
                </w:tcPr>
                <w:p w14:paraId="601C250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≤10</w:t>
                  </w:r>
                </w:p>
              </w:tc>
              <w:tc>
                <w:tcPr>
                  <w:tcW w:w="684" w:type="dxa"/>
                  <w:tcBorders>
                    <w:tl2br w:val="nil"/>
                    <w:tr2bl w:val="nil"/>
                  </w:tcBorders>
                  <w:noWrap w:val="0"/>
                  <w:vAlign w:val="center"/>
                </w:tcPr>
                <w:p w14:paraId="63A51B1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3579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207A24C9">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氨氮</w:t>
                  </w:r>
                </w:p>
              </w:tc>
              <w:tc>
                <w:tcPr>
                  <w:tcW w:w="1175" w:type="dxa"/>
                  <w:tcBorders>
                    <w:tl2br w:val="nil"/>
                    <w:tr2bl w:val="nil"/>
                  </w:tcBorders>
                  <w:noWrap w:val="0"/>
                  <w:vAlign w:val="center"/>
                </w:tcPr>
                <w:p w14:paraId="32E3215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0.041</w:t>
                  </w:r>
                </w:p>
              </w:tc>
              <w:tc>
                <w:tcPr>
                  <w:tcW w:w="1175" w:type="dxa"/>
                  <w:tcBorders>
                    <w:tl2br w:val="nil"/>
                    <w:tr2bl w:val="nil"/>
                  </w:tcBorders>
                  <w:noWrap w:val="0"/>
                  <w:vAlign w:val="center"/>
                </w:tcPr>
                <w:p w14:paraId="40DC124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0.027</w:t>
                  </w:r>
                </w:p>
              </w:tc>
              <w:tc>
                <w:tcPr>
                  <w:tcW w:w="1175" w:type="dxa"/>
                  <w:tcBorders>
                    <w:tl2br w:val="nil"/>
                    <w:tr2bl w:val="nil"/>
                  </w:tcBorders>
                  <w:noWrap w:val="0"/>
                  <w:vAlign w:val="center"/>
                </w:tcPr>
                <w:p w14:paraId="7ED342D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 xml:space="preserve">0.038 </w:t>
                  </w:r>
                </w:p>
              </w:tc>
              <w:tc>
                <w:tcPr>
                  <w:tcW w:w="1180" w:type="dxa"/>
                  <w:tcBorders>
                    <w:tl2br w:val="nil"/>
                    <w:tr2bl w:val="nil"/>
                  </w:tcBorders>
                  <w:noWrap w:val="0"/>
                  <w:vAlign w:val="center"/>
                </w:tcPr>
                <w:p w14:paraId="7A40040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0.043</w:t>
                  </w:r>
                </w:p>
              </w:tc>
              <w:tc>
                <w:tcPr>
                  <w:tcW w:w="866" w:type="dxa"/>
                  <w:tcBorders>
                    <w:tl2br w:val="nil"/>
                    <w:tr2bl w:val="nil"/>
                  </w:tcBorders>
                  <w:noWrap w:val="0"/>
                  <w:vAlign w:val="center"/>
                </w:tcPr>
                <w:p w14:paraId="5DAB0FB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≤8</w:t>
                  </w:r>
                </w:p>
              </w:tc>
              <w:tc>
                <w:tcPr>
                  <w:tcW w:w="684" w:type="dxa"/>
                  <w:tcBorders>
                    <w:tl2br w:val="nil"/>
                    <w:tr2bl w:val="nil"/>
                  </w:tcBorders>
                  <w:noWrap w:val="0"/>
                  <w:vAlign w:val="center"/>
                </w:tcPr>
                <w:p w14:paraId="1C7602F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6303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53EDA96E">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阴离子表面活性剂</w:t>
                  </w:r>
                </w:p>
              </w:tc>
              <w:tc>
                <w:tcPr>
                  <w:tcW w:w="1175" w:type="dxa"/>
                  <w:tcBorders>
                    <w:tl2br w:val="nil"/>
                    <w:tr2bl w:val="nil"/>
                  </w:tcBorders>
                  <w:noWrap w:val="0"/>
                  <w:vAlign w:val="center"/>
                </w:tcPr>
                <w:p w14:paraId="724F6BC4">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0.057</w:t>
                  </w:r>
                </w:p>
              </w:tc>
              <w:tc>
                <w:tcPr>
                  <w:tcW w:w="1175" w:type="dxa"/>
                  <w:tcBorders>
                    <w:tl2br w:val="nil"/>
                    <w:tr2bl w:val="nil"/>
                  </w:tcBorders>
                  <w:noWrap w:val="0"/>
                  <w:vAlign w:val="center"/>
                </w:tcPr>
                <w:p w14:paraId="5F3C129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0.061</w:t>
                  </w:r>
                </w:p>
              </w:tc>
              <w:tc>
                <w:tcPr>
                  <w:tcW w:w="1175" w:type="dxa"/>
                  <w:tcBorders>
                    <w:tl2br w:val="nil"/>
                    <w:tr2bl w:val="nil"/>
                  </w:tcBorders>
                  <w:noWrap w:val="0"/>
                  <w:vAlign w:val="center"/>
                </w:tcPr>
                <w:p w14:paraId="4E0197F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0.059</w:t>
                  </w:r>
                </w:p>
              </w:tc>
              <w:tc>
                <w:tcPr>
                  <w:tcW w:w="1180" w:type="dxa"/>
                  <w:tcBorders>
                    <w:tl2br w:val="nil"/>
                    <w:tr2bl w:val="nil"/>
                  </w:tcBorders>
                  <w:noWrap w:val="0"/>
                  <w:vAlign w:val="center"/>
                </w:tcPr>
                <w:p w14:paraId="236E2EA0">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0.057</w:t>
                  </w:r>
                </w:p>
              </w:tc>
              <w:tc>
                <w:tcPr>
                  <w:tcW w:w="866" w:type="dxa"/>
                  <w:tcBorders>
                    <w:tl2br w:val="nil"/>
                    <w:tr2bl w:val="nil"/>
                  </w:tcBorders>
                  <w:noWrap w:val="0"/>
                  <w:vAlign w:val="center"/>
                </w:tcPr>
                <w:p w14:paraId="5A7E73E0">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≤0.5</w:t>
                  </w:r>
                </w:p>
              </w:tc>
              <w:tc>
                <w:tcPr>
                  <w:tcW w:w="684" w:type="dxa"/>
                  <w:tcBorders>
                    <w:tl2br w:val="nil"/>
                    <w:tr2bl w:val="nil"/>
                  </w:tcBorders>
                  <w:noWrap w:val="0"/>
                  <w:vAlign w:val="center"/>
                </w:tcPr>
                <w:p w14:paraId="1CCC477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58FD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44" w:type="dxa"/>
                  <w:tcBorders>
                    <w:tl2br w:val="nil"/>
                    <w:tr2bl w:val="nil"/>
                  </w:tcBorders>
                  <w:noWrap w:val="0"/>
                  <w:vAlign w:val="center"/>
                </w:tcPr>
                <w:p w14:paraId="73C3921F">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溶解性总固体</w:t>
                  </w:r>
                </w:p>
              </w:tc>
              <w:tc>
                <w:tcPr>
                  <w:tcW w:w="1175" w:type="dxa"/>
                  <w:tcBorders>
                    <w:tl2br w:val="nil"/>
                    <w:tr2bl w:val="nil"/>
                  </w:tcBorders>
                  <w:noWrap w:val="0"/>
                  <w:vAlign w:val="center"/>
                </w:tcPr>
                <w:p w14:paraId="4309FEE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141</w:t>
                  </w:r>
                </w:p>
              </w:tc>
              <w:tc>
                <w:tcPr>
                  <w:tcW w:w="1175" w:type="dxa"/>
                  <w:tcBorders>
                    <w:tl2br w:val="nil"/>
                    <w:tr2bl w:val="nil"/>
                  </w:tcBorders>
                  <w:noWrap w:val="0"/>
                  <w:vAlign w:val="center"/>
                </w:tcPr>
                <w:p w14:paraId="1A9CF34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139</w:t>
                  </w:r>
                </w:p>
              </w:tc>
              <w:tc>
                <w:tcPr>
                  <w:tcW w:w="1175" w:type="dxa"/>
                  <w:tcBorders>
                    <w:tl2br w:val="nil"/>
                    <w:tr2bl w:val="nil"/>
                  </w:tcBorders>
                  <w:noWrap w:val="0"/>
                  <w:vAlign w:val="center"/>
                </w:tcPr>
                <w:p w14:paraId="7857130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145</w:t>
                  </w:r>
                </w:p>
              </w:tc>
              <w:tc>
                <w:tcPr>
                  <w:tcW w:w="1180" w:type="dxa"/>
                  <w:tcBorders>
                    <w:tl2br w:val="nil"/>
                    <w:tr2bl w:val="nil"/>
                  </w:tcBorders>
                  <w:noWrap w:val="0"/>
                  <w:vAlign w:val="center"/>
                </w:tcPr>
                <w:p w14:paraId="69EFCAF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146</w:t>
                  </w:r>
                </w:p>
              </w:tc>
              <w:tc>
                <w:tcPr>
                  <w:tcW w:w="866" w:type="dxa"/>
                  <w:tcBorders>
                    <w:tl2br w:val="nil"/>
                    <w:tr2bl w:val="nil"/>
                  </w:tcBorders>
                  <w:noWrap w:val="0"/>
                  <w:vAlign w:val="center"/>
                </w:tcPr>
                <w:p w14:paraId="11B5BA8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≤1000</w:t>
                  </w:r>
                </w:p>
              </w:tc>
              <w:tc>
                <w:tcPr>
                  <w:tcW w:w="684" w:type="dxa"/>
                  <w:tcBorders>
                    <w:tl2br w:val="nil"/>
                    <w:tr2bl w:val="nil"/>
                  </w:tcBorders>
                  <w:noWrap w:val="0"/>
                  <w:vAlign w:val="center"/>
                </w:tcPr>
                <w:p w14:paraId="5765FCDB">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1838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44" w:type="dxa"/>
                  <w:tcBorders>
                    <w:tl2br w:val="nil"/>
                    <w:tr2bl w:val="nil"/>
                  </w:tcBorders>
                  <w:noWrap w:val="0"/>
                  <w:vAlign w:val="center"/>
                </w:tcPr>
                <w:p w14:paraId="634EA174">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eastAsia="zh-CN"/>
                    </w:rPr>
                  </w:pPr>
                  <w:r>
                    <w:rPr>
                      <w:rFonts w:hint="default" w:ascii="Times New Roman" w:hAnsi="Times New Roman" w:eastAsia="宋体" w:cs="Times New Roman"/>
                      <w:b w:val="0"/>
                      <w:bCs w:val="0"/>
                      <w:color w:val="auto"/>
                      <w:spacing w:val="0"/>
                      <w:sz w:val="21"/>
                      <w:szCs w:val="21"/>
                      <w:highlight w:val="none"/>
                      <w:lang w:val="en-US" w:eastAsia="zh-CN" w:bidi="ar-SA"/>
                    </w:rPr>
                    <w:t>大肠埃希氏菌（MPN/100mL）</w:t>
                  </w:r>
                </w:p>
              </w:tc>
              <w:tc>
                <w:tcPr>
                  <w:tcW w:w="1175" w:type="dxa"/>
                  <w:tcBorders>
                    <w:tl2br w:val="nil"/>
                    <w:tr2bl w:val="nil"/>
                  </w:tcBorders>
                  <w:noWrap w:val="0"/>
                  <w:vAlign w:val="center"/>
                </w:tcPr>
                <w:p w14:paraId="14757B9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1175" w:type="dxa"/>
                  <w:tcBorders>
                    <w:tl2br w:val="nil"/>
                    <w:tr2bl w:val="nil"/>
                  </w:tcBorders>
                  <w:noWrap w:val="0"/>
                  <w:vAlign w:val="center"/>
                </w:tcPr>
                <w:p w14:paraId="31F454BD">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1175" w:type="dxa"/>
                  <w:tcBorders>
                    <w:tl2br w:val="nil"/>
                    <w:tr2bl w:val="nil"/>
                  </w:tcBorders>
                  <w:noWrap w:val="0"/>
                  <w:vAlign w:val="center"/>
                </w:tcPr>
                <w:p w14:paraId="458667A3">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1180" w:type="dxa"/>
                  <w:tcBorders>
                    <w:tl2br w:val="nil"/>
                    <w:tr2bl w:val="nil"/>
                  </w:tcBorders>
                  <w:noWrap w:val="0"/>
                  <w:vAlign w:val="center"/>
                </w:tcPr>
                <w:p w14:paraId="047B997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未检出</w:t>
                  </w:r>
                </w:p>
              </w:tc>
              <w:tc>
                <w:tcPr>
                  <w:tcW w:w="866" w:type="dxa"/>
                  <w:tcBorders>
                    <w:tl2br w:val="nil"/>
                    <w:tr2bl w:val="nil"/>
                  </w:tcBorders>
                  <w:noWrap w:val="0"/>
                  <w:vAlign w:val="center"/>
                </w:tcPr>
                <w:p w14:paraId="59CB9B79">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rPr>
                    <w:t>不应检出</w:t>
                  </w:r>
                </w:p>
              </w:tc>
              <w:tc>
                <w:tcPr>
                  <w:tcW w:w="684" w:type="dxa"/>
                  <w:tcBorders>
                    <w:tl2br w:val="nil"/>
                    <w:tr2bl w:val="nil"/>
                  </w:tcBorders>
                  <w:noWrap w:val="0"/>
                  <w:vAlign w:val="center"/>
                </w:tcPr>
                <w:p w14:paraId="395A13AF">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r w14:paraId="1A25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44" w:type="dxa"/>
                  <w:tcBorders>
                    <w:tl2br w:val="nil"/>
                    <w:tr2bl w:val="nil"/>
                  </w:tcBorders>
                  <w:noWrap w:val="0"/>
                  <w:vAlign w:val="center"/>
                </w:tcPr>
                <w:p w14:paraId="2891AA1F">
                  <w:pPr>
                    <w:autoSpaceDN w:val="0"/>
                    <w:ind w:left="0" w:leftChars="0"/>
                    <w:jc w:val="center"/>
                    <w:textAlignment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bidi="ar-SA"/>
                    </w:rPr>
                    <w:t>嗅和味（无量纲）</w:t>
                  </w:r>
                </w:p>
              </w:tc>
              <w:tc>
                <w:tcPr>
                  <w:tcW w:w="1175" w:type="dxa"/>
                  <w:tcBorders>
                    <w:tl2br w:val="nil"/>
                    <w:tr2bl w:val="nil"/>
                  </w:tcBorders>
                  <w:noWrap w:val="0"/>
                  <w:vAlign w:val="center"/>
                </w:tcPr>
                <w:p w14:paraId="2F577ED1">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1175" w:type="dxa"/>
                  <w:tcBorders>
                    <w:tl2br w:val="nil"/>
                    <w:tr2bl w:val="nil"/>
                  </w:tcBorders>
                  <w:noWrap w:val="0"/>
                  <w:vAlign w:val="center"/>
                </w:tcPr>
                <w:p w14:paraId="69DF8868">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1175" w:type="dxa"/>
                  <w:tcBorders>
                    <w:tl2br w:val="nil"/>
                    <w:tr2bl w:val="nil"/>
                  </w:tcBorders>
                  <w:noWrap w:val="0"/>
                  <w:vAlign w:val="center"/>
                </w:tcPr>
                <w:p w14:paraId="7C83D952">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1180" w:type="dxa"/>
                  <w:tcBorders>
                    <w:tl2br w:val="nil"/>
                    <w:tr2bl w:val="nil"/>
                  </w:tcBorders>
                  <w:noWrap w:val="0"/>
                  <w:vAlign w:val="center"/>
                </w:tcPr>
                <w:p w14:paraId="538B4B75">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无</w:t>
                  </w:r>
                </w:p>
              </w:tc>
              <w:tc>
                <w:tcPr>
                  <w:tcW w:w="866" w:type="dxa"/>
                  <w:tcBorders>
                    <w:tl2br w:val="nil"/>
                    <w:tr2bl w:val="nil"/>
                  </w:tcBorders>
                  <w:noWrap w:val="0"/>
                  <w:vAlign w:val="center"/>
                </w:tcPr>
                <w:p w14:paraId="7DAE79A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highlight w:val="none"/>
                    </w:rPr>
                    <w:t>无不快感</w:t>
                  </w:r>
                </w:p>
              </w:tc>
              <w:tc>
                <w:tcPr>
                  <w:tcW w:w="684" w:type="dxa"/>
                  <w:tcBorders>
                    <w:tl2br w:val="nil"/>
                    <w:tr2bl w:val="nil"/>
                  </w:tcBorders>
                  <w:noWrap w:val="0"/>
                  <w:vAlign w:val="center"/>
                </w:tcPr>
                <w:p w14:paraId="64E95FEE">
                  <w:pPr>
                    <w:ind w:left="0" w:left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达标</w:t>
                  </w:r>
                </w:p>
              </w:tc>
            </w:tr>
          </w:tbl>
          <w:p w14:paraId="665C799B">
            <w:pPr>
              <w:pStyle w:val="4"/>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187" w:name="_Toc10928"/>
            <w:r>
              <w:rPr>
                <w:rFonts w:hint="default" w:ascii="Times New Roman" w:hAnsi="Times New Roman" w:eastAsia="宋体" w:cs="Times New Roman"/>
                <w:b w:val="0"/>
                <w:bCs w:val="0"/>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en-US" w:eastAsia="zh-CN" w:bidi="ar-SA"/>
              </w:rPr>
              <w:t>中清能禄劝县岩子头200MW生态修复光伏电站项目竣工环境保护验收期间废水水质检测结果可知，</w:t>
            </w:r>
            <w:r>
              <w:rPr>
                <w:rFonts w:hint="default" w:ascii="Times New Roman" w:hAnsi="Times New Roman" w:eastAsia="宋体" w:cs="Times New Roman"/>
                <w:b w:val="0"/>
                <w:bCs w:val="0"/>
                <w:color w:val="auto"/>
                <w:sz w:val="24"/>
                <w:szCs w:val="24"/>
                <w:highlight w:val="none"/>
                <w:lang w:val="en-US" w:eastAsia="zh-CN"/>
              </w:rPr>
              <w:t>产生生活污水经食堂隔油池、化粪池、一体化污水处理站处理后，各项水质检测指标均可满足</w:t>
            </w:r>
            <w:r>
              <w:rPr>
                <w:rFonts w:hint="default" w:ascii="Times New Roman" w:hAnsi="Times New Roman" w:eastAsia="宋体" w:cs="Times New Roman"/>
                <w:b w:val="0"/>
                <w:bCs w:val="0"/>
                <w:color w:val="auto"/>
                <w:sz w:val="24"/>
                <w:szCs w:val="24"/>
                <w:highlight w:val="none"/>
              </w:rPr>
              <w:t>《城市污水再生利用城市杂用水水质》（GB/T18920-2020）中绿化</w:t>
            </w:r>
            <w:r>
              <w:rPr>
                <w:rFonts w:hint="default" w:ascii="Times New Roman" w:hAnsi="Times New Roman" w:eastAsia="宋体" w:cs="Times New Roman"/>
                <w:b w:val="0"/>
                <w:bCs w:val="0"/>
                <w:color w:val="auto"/>
                <w:sz w:val="24"/>
                <w:szCs w:val="24"/>
                <w:highlight w:val="none"/>
                <w:lang w:val="en-US" w:eastAsia="zh-CN"/>
              </w:rPr>
              <w:t>回用</w:t>
            </w:r>
            <w:r>
              <w:rPr>
                <w:rFonts w:hint="default" w:ascii="Times New Roman" w:hAnsi="Times New Roman" w:eastAsia="宋体" w:cs="Times New Roman"/>
                <w:b w:val="0"/>
                <w:bCs w:val="0"/>
                <w:color w:val="auto"/>
                <w:sz w:val="24"/>
                <w:szCs w:val="24"/>
                <w:highlight w:val="none"/>
              </w:rPr>
              <w:t>标准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均可达标回用</w:t>
            </w:r>
            <w:r>
              <w:rPr>
                <w:rFonts w:hint="default" w:ascii="Times New Roman" w:hAnsi="Times New Roman" w:eastAsia="宋体" w:cs="Times New Roman"/>
                <w:b w:val="0"/>
                <w:bCs w:val="0"/>
                <w:color w:val="auto"/>
                <w:sz w:val="24"/>
                <w:szCs w:val="24"/>
                <w:highlight w:val="none"/>
                <w:lang w:eastAsia="zh-CN"/>
              </w:rPr>
              <w:t>。</w:t>
            </w:r>
            <w:bookmarkEnd w:id="187"/>
          </w:p>
          <w:p w14:paraId="003D4B8C">
            <w:pPr>
              <w:pStyle w:val="4"/>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bookmarkStart w:id="188" w:name="_Toc29800"/>
            <w:r>
              <w:rPr>
                <w:rFonts w:hint="default" w:ascii="Times New Roman" w:hAnsi="Times New Roman" w:eastAsia="宋体" w:cs="Times New Roman"/>
                <w:b/>
                <w:bCs/>
                <w:color w:val="auto"/>
                <w:kern w:val="2"/>
                <w:sz w:val="24"/>
                <w:szCs w:val="24"/>
                <w:highlight w:val="none"/>
                <w:lang w:val="en-US" w:eastAsia="zh-CN" w:bidi="ar-SA"/>
              </w:rPr>
              <w:t>（四）运行期大气环境影响分析</w:t>
            </w:r>
            <w:bookmarkEnd w:id="182"/>
            <w:bookmarkEnd w:id="183"/>
            <w:bookmarkEnd w:id="184"/>
            <w:bookmarkEnd w:id="185"/>
            <w:bookmarkEnd w:id="188"/>
          </w:p>
          <w:p w14:paraId="79EDBF88">
            <w:pPr>
              <w:pageBreakBefore w:val="0"/>
              <w:widowControl w:val="0"/>
              <w:kinsoku/>
              <w:wordWrap/>
              <w:overflowPunct/>
              <w:topLinePunct w:val="0"/>
              <w:autoSpaceDE/>
              <w:autoSpaceDN/>
              <w:bidi w:val="0"/>
              <w:adjustRightInd/>
              <w:snapToGrid/>
              <w:spacing w:line="336" w:lineRule="auto"/>
              <w:ind w:firstLine="508"/>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该报告表中已对升压站运行过程产生的废气进行影响分析，升压站运营期废气主要为食堂油烟及进出车辆尾气。根据《中清能禄劝县岩子头200MW生态修复光伏电站项目环境影响报告表》及其环评批复，要求升压站</w:t>
            </w:r>
            <w:r>
              <w:rPr>
                <w:rFonts w:hint="default" w:ascii="Times New Roman" w:hAnsi="Times New Roman" w:eastAsia="宋体" w:cs="Times New Roman"/>
                <w:b w:val="0"/>
                <w:bCs w:val="0"/>
                <w:color w:val="auto"/>
                <w:sz w:val="24"/>
                <w:szCs w:val="24"/>
                <w:highlight w:val="none"/>
                <w:lang w:val="en-US" w:eastAsia="zh-CN"/>
              </w:rPr>
              <w:t>设置1套食堂油烟净化设施对食堂油烟进行处理，经处理后引至楼顶排放；汽车尾气产生量较小，主要采取大气扩散、绿化吸收措施</w:t>
            </w:r>
            <w:r>
              <w:rPr>
                <w:rFonts w:hint="default" w:ascii="Times New Roman" w:hAnsi="Times New Roman" w:eastAsia="宋体" w:cs="Times New Roman"/>
                <w:b w:val="0"/>
                <w:bCs w:val="0"/>
                <w:color w:val="auto"/>
                <w:kern w:val="2"/>
                <w:sz w:val="24"/>
                <w:szCs w:val="24"/>
                <w:highlight w:val="none"/>
                <w:lang w:val="en-US" w:eastAsia="zh-CN" w:bidi="ar-SA"/>
              </w:rPr>
              <w:t>。</w:t>
            </w:r>
          </w:p>
          <w:p w14:paraId="6A8DE935">
            <w:pPr>
              <w:pStyle w:val="4"/>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189" w:name="_Toc2024"/>
            <w:bookmarkStart w:id="190" w:name="_Toc30285"/>
            <w:bookmarkStart w:id="191" w:name="_Toc25687"/>
            <w:bookmarkStart w:id="192" w:name="_Toc29447"/>
            <w:bookmarkStart w:id="193" w:name="_Toc25240"/>
            <w:r>
              <w:rPr>
                <w:rFonts w:hint="default" w:ascii="Times New Roman" w:hAnsi="Times New Roman" w:eastAsia="宋体" w:cs="Times New Roman"/>
                <w:b w:val="0"/>
                <w:bCs w:val="0"/>
                <w:color w:val="auto"/>
                <w:kern w:val="2"/>
                <w:sz w:val="24"/>
                <w:szCs w:val="24"/>
                <w:highlight w:val="none"/>
                <w:lang w:val="en-US" w:eastAsia="zh-CN" w:bidi="ar-SA"/>
              </w:rPr>
              <w:t>根据现场调查，升压站已按要求设置有1套油烟机，食堂产生的油烟经油烟机处理后</w:t>
            </w:r>
            <w:r>
              <w:rPr>
                <w:rFonts w:hint="default" w:ascii="Times New Roman" w:hAnsi="Times New Roman" w:eastAsia="宋体" w:cs="Times New Roman"/>
                <w:b w:val="0"/>
                <w:bCs w:val="0"/>
                <w:color w:val="auto"/>
                <w:sz w:val="24"/>
                <w:szCs w:val="24"/>
                <w:highlight w:val="none"/>
                <w:lang w:val="en-US" w:eastAsia="zh-CN"/>
              </w:rPr>
              <w:t>引至楼顶排放，影响较小。</w:t>
            </w:r>
            <w:bookmarkEnd w:id="189"/>
          </w:p>
          <w:p w14:paraId="1DFF0430">
            <w:pPr>
              <w:pStyle w:val="4"/>
              <w:pageBreakBefore w:val="0"/>
              <w:widowControl w:val="0"/>
              <w:kinsoku/>
              <w:wordWrap/>
              <w:overflowPunct/>
              <w:topLinePunct w:val="0"/>
              <w:autoSpaceDE/>
              <w:autoSpaceDN/>
              <w:bidi w:val="0"/>
              <w:adjustRightInd/>
              <w:snapToGrid/>
              <w:spacing w:before="0" w:after="0" w:line="336" w:lineRule="auto"/>
              <w:ind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bookmarkStart w:id="194" w:name="_Toc22430"/>
            <w:r>
              <w:rPr>
                <w:rFonts w:hint="default" w:ascii="Times New Roman" w:hAnsi="Times New Roman" w:eastAsia="宋体" w:cs="Times New Roman"/>
                <w:b/>
                <w:bCs/>
                <w:color w:val="auto"/>
                <w:kern w:val="2"/>
                <w:sz w:val="24"/>
                <w:szCs w:val="24"/>
                <w:highlight w:val="none"/>
                <w:lang w:val="en-US" w:eastAsia="zh-CN" w:bidi="ar-SA"/>
              </w:rPr>
              <w:t>（五）固体废弃物环境影响分析</w:t>
            </w:r>
            <w:bookmarkEnd w:id="190"/>
            <w:bookmarkEnd w:id="191"/>
            <w:bookmarkEnd w:id="192"/>
            <w:bookmarkEnd w:id="193"/>
            <w:bookmarkEnd w:id="194"/>
          </w:p>
          <w:p w14:paraId="424D187B">
            <w:pPr>
              <w:pageBreakBefore w:val="0"/>
              <w:widowControl w:val="0"/>
              <w:kinsoku/>
              <w:wordWrap/>
              <w:overflowPunct/>
              <w:topLinePunct w:val="0"/>
              <w:autoSpaceDE/>
              <w:autoSpaceDN/>
              <w:bidi w:val="0"/>
              <w:adjustRightInd/>
              <w:snapToGrid/>
              <w:spacing w:line="336" w:lineRule="auto"/>
              <w:ind w:firstLine="508"/>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根据已批复的《中清能禄劝县岩子头200MW生态修复光伏电站项目环境影响报告表》，该报告表中已对升压站运行过程产生的固废进行影响分析，升压站运营期固废主要为</w:t>
            </w:r>
            <w:r>
              <w:rPr>
                <w:rFonts w:hint="default" w:ascii="Times New Roman" w:hAnsi="Times New Roman" w:eastAsia="宋体" w:cs="Times New Roman"/>
                <w:color w:val="auto"/>
                <w:sz w:val="24"/>
                <w:szCs w:val="24"/>
                <w:highlight w:val="none"/>
                <w:lang w:eastAsia="zh-CN"/>
              </w:rPr>
              <w:t>废蓄电池、废变压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油、食堂</w:t>
            </w:r>
            <w:r>
              <w:rPr>
                <w:rFonts w:hint="default"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eastAsia="zh-CN"/>
              </w:rPr>
              <w:t>废油脂、化粪池</w:t>
            </w:r>
            <w:r>
              <w:rPr>
                <w:rFonts w:hint="default" w:ascii="Times New Roman" w:hAnsi="Times New Roman" w:eastAsia="宋体" w:cs="Times New Roman"/>
                <w:color w:val="auto"/>
                <w:sz w:val="24"/>
                <w:szCs w:val="24"/>
                <w:highlight w:val="none"/>
                <w:lang w:val="en-US" w:eastAsia="zh-CN"/>
              </w:rPr>
              <w:t>及污水处理站</w:t>
            </w:r>
            <w:r>
              <w:rPr>
                <w:rFonts w:hint="default" w:ascii="Times New Roman" w:hAnsi="Times New Roman" w:eastAsia="宋体" w:cs="Times New Roman"/>
                <w:color w:val="auto"/>
                <w:sz w:val="24"/>
                <w:szCs w:val="24"/>
                <w:highlight w:val="none"/>
                <w:lang w:eastAsia="zh-CN"/>
              </w:rPr>
              <w:t>污泥以、</w:t>
            </w:r>
            <w:r>
              <w:rPr>
                <w:rFonts w:hint="default" w:ascii="Times New Roman" w:hAnsi="Times New Roman" w:eastAsia="宋体" w:cs="Times New Roman"/>
                <w:color w:val="auto"/>
                <w:sz w:val="24"/>
                <w:szCs w:val="24"/>
                <w:highlight w:val="none"/>
                <w:lang w:val="en-US" w:eastAsia="zh-CN"/>
              </w:rPr>
              <w:t>检修废物及</w:t>
            </w:r>
            <w:r>
              <w:rPr>
                <w:rFonts w:hint="default" w:ascii="Times New Roman" w:hAnsi="Times New Roman" w:eastAsia="宋体" w:cs="Times New Roman"/>
                <w:color w:val="auto"/>
                <w:sz w:val="24"/>
                <w:szCs w:val="24"/>
                <w:highlight w:val="none"/>
                <w:lang w:eastAsia="zh-CN"/>
              </w:rPr>
              <w:t>生活垃圾。</w:t>
            </w:r>
          </w:p>
          <w:p w14:paraId="34AB0C8F">
            <w:pPr>
              <w:spacing w:line="360" w:lineRule="auto"/>
              <w:ind w:firstLine="480"/>
              <w:rPr>
                <w:rFonts w:hint="default" w:ascii="Times New Roman" w:hAnsi="Times New Roman" w:eastAsia="宋体" w:cs="Times New Roman"/>
                <w:color w:val="auto"/>
                <w:sz w:val="24"/>
                <w:szCs w:val="24"/>
                <w:highlight w:val="none"/>
              </w:rPr>
            </w:pPr>
            <w:bookmarkStart w:id="195" w:name="_Toc71546592"/>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生活垃圾</w:t>
            </w:r>
          </w:p>
          <w:p w14:paraId="15811F42">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根据已批复的《中清能禄劝县岩子头200MW生态修复光伏电站项目环境影响报告表》，要求</w:t>
            </w:r>
            <w:r>
              <w:rPr>
                <w:rFonts w:hint="default" w:ascii="Times New Roman" w:hAnsi="Times New Roman" w:eastAsia="宋体" w:cs="Times New Roman"/>
                <w:color w:val="auto"/>
                <w:sz w:val="24"/>
                <w:szCs w:val="24"/>
                <w:highlight w:val="none"/>
                <w:lang w:val="en-US" w:eastAsia="zh-CN"/>
              </w:rPr>
              <w:t>升压站设置生活垃圾收集桶，运营期产生的</w:t>
            </w:r>
            <w:r>
              <w:rPr>
                <w:rFonts w:hint="default" w:ascii="Times New Roman" w:hAnsi="Times New Roman" w:eastAsia="宋体" w:cs="Times New Roman"/>
                <w:color w:val="auto"/>
                <w:sz w:val="24"/>
                <w:szCs w:val="24"/>
                <w:highlight w:val="none"/>
              </w:rPr>
              <w:t>生活垃圾</w:t>
            </w:r>
            <w:r>
              <w:rPr>
                <w:rFonts w:hint="default" w:ascii="Times New Roman" w:hAnsi="Times New Roman" w:eastAsia="宋体" w:cs="Times New Roman"/>
                <w:color w:val="auto"/>
                <w:sz w:val="24"/>
                <w:szCs w:val="24"/>
                <w:highlight w:val="none"/>
                <w:lang w:val="en-US" w:eastAsia="zh-CN"/>
              </w:rPr>
              <w:t>经</w:t>
            </w:r>
            <w:r>
              <w:rPr>
                <w:rFonts w:hint="default" w:ascii="Times New Roman" w:hAnsi="Times New Roman" w:eastAsia="宋体" w:cs="Times New Roman"/>
                <w:color w:val="auto"/>
                <w:sz w:val="24"/>
                <w:szCs w:val="24"/>
                <w:highlight w:val="none"/>
              </w:rPr>
              <w:t>分类收集回收利用</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rPr>
              <w:t>，运送至就近的</w:t>
            </w:r>
            <w:r>
              <w:rPr>
                <w:rFonts w:hint="default" w:ascii="Times New Roman" w:hAnsi="Times New Roman" w:eastAsia="宋体" w:cs="Times New Roman"/>
                <w:color w:val="auto"/>
                <w:sz w:val="24"/>
                <w:szCs w:val="24"/>
                <w:highlight w:val="none"/>
                <w:lang w:val="en-US" w:eastAsia="zh-CN"/>
              </w:rPr>
              <w:t>村庄生活垃圾</w:t>
            </w:r>
            <w:r>
              <w:rPr>
                <w:rFonts w:hint="default" w:ascii="Times New Roman" w:hAnsi="Times New Roman" w:eastAsia="宋体" w:cs="Times New Roman"/>
                <w:color w:val="auto"/>
                <w:sz w:val="24"/>
                <w:szCs w:val="24"/>
                <w:highlight w:val="none"/>
              </w:rPr>
              <w:t>垃圾</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收集点，与附近村庄垃圾一同处置。</w:t>
            </w:r>
          </w:p>
          <w:p w14:paraId="59CB1B0E">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根据现场调查，升压站已按要求设置有生活垃圾收集桶及垃圾收集箱，产生的生活垃圾经垃圾桶、垃圾收集箱收集后，</w:t>
            </w:r>
            <w:r>
              <w:rPr>
                <w:rFonts w:hint="default" w:ascii="Times New Roman" w:hAnsi="Times New Roman" w:eastAsia="宋体" w:cs="Times New Roman"/>
                <w:color w:val="auto"/>
                <w:sz w:val="24"/>
                <w:szCs w:val="24"/>
                <w:highlight w:val="none"/>
              </w:rPr>
              <w:t>运送至就近的</w:t>
            </w:r>
            <w:r>
              <w:rPr>
                <w:rFonts w:hint="default" w:ascii="Times New Roman" w:hAnsi="Times New Roman" w:eastAsia="宋体" w:cs="Times New Roman"/>
                <w:color w:val="auto"/>
                <w:sz w:val="24"/>
                <w:szCs w:val="24"/>
                <w:highlight w:val="none"/>
                <w:lang w:val="en-US" w:eastAsia="zh-CN"/>
              </w:rPr>
              <w:t>村庄生活</w:t>
            </w:r>
            <w:r>
              <w:rPr>
                <w:rFonts w:hint="default" w:ascii="Times New Roman" w:hAnsi="Times New Roman" w:eastAsia="宋体" w:cs="Times New Roman"/>
                <w:color w:val="auto"/>
                <w:sz w:val="24"/>
                <w:szCs w:val="24"/>
                <w:highlight w:val="none"/>
              </w:rPr>
              <w:t>垃圾</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收集点，与附近村庄垃圾一同</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处置</w:t>
            </w:r>
            <w:r>
              <w:rPr>
                <w:rFonts w:hint="default" w:ascii="Times New Roman" w:hAnsi="Times New Roman" w:eastAsia="宋体" w:cs="Times New Roman"/>
                <w:color w:val="auto"/>
                <w:sz w:val="24"/>
                <w:szCs w:val="24"/>
                <w:highlight w:val="none"/>
                <w:lang w:eastAsia="zh-CN"/>
              </w:rPr>
              <w:t>。</w:t>
            </w:r>
          </w:p>
          <w:p w14:paraId="3C0D1ECA">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食堂废油脂</w:t>
            </w:r>
          </w:p>
          <w:p w14:paraId="507B0B22">
            <w:pPr>
              <w:adjustRightIn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根据已批复的《中清能禄劝县岩子头200MW生态修复光伏电站项目环境影响报告表》及现场调查，升压站</w:t>
            </w:r>
            <w:r>
              <w:rPr>
                <w:rFonts w:hint="default" w:ascii="Times New Roman" w:hAnsi="Times New Roman" w:eastAsia="宋体" w:cs="Times New Roman"/>
                <w:color w:val="auto"/>
                <w:sz w:val="24"/>
                <w:szCs w:val="24"/>
                <w:highlight w:val="none"/>
              </w:rPr>
              <w:t>设置</w:t>
            </w:r>
            <w:r>
              <w:rPr>
                <w:rFonts w:hint="default" w:ascii="Times New Roman" w:hAnsi="Times New Roman" w:eastAsia="宋体" w:cs="Times New Roman"/>
                <w:color w:val="auto"/>
                <w:sz w:val="24"/>
                <w:szCs w:val="24"/>
                <w:highlight w:val="none"/>
                <w:lang w:val="en-US" w:eastAsia="zh-CN"/>
              </w:rPr>
              <w:t>食堂</w:t>
            </w:r>
            <w:r>
              <w:rPr>
                <w:rFonts w:hint="default" w:ascii="Times New Roman" w:hAnsi="Times New Roman" w:eastAsia="宋体" w:cs="Times New Roman"/>
                <w:color w:val="auto"/>
                <w:sz w:val="24"/>
                <w:szCs w:val="24"/>
                <w:highlight w:val="none"/>
              </w:rPr>
              <w:t>隔油池一座，</w:t>
            </w:r>
            <w:r>
              <w:rPr>
                <w:rFonts w:hint="default" w:ascii="Times New Roman" w:hAnsi="Times New Roman" w:eastAsia="宋体" w:cs="Times New Roman"/>
                <w:color w:val="auto"/>
                <w:sz w:val="24"/>
                <w:szCs w:val="24"/>
                <w:highlight w:val="none"/>
                <w:lang w:val="en-US" w:eastAsia="zh-CN"/>
              </w:rPr>
              <w:t>使用一定时间后会</w:t>
            </w:r>
            <w:r>
              <w:rPr>
                <w:rFonts w:hint="default" w:ascii="Times New Roman" w:hAnsi="Times New Roman" w:eastAsia="宋体" w:cs="Times New Roman"/>
                <w:color w:val="auto"/>
                <w:sz w:val="24"/>
                <w:szCs w:val="24"/>
                <w:highlight w:val="none"/>
              </w:rPr>
              <w:t>产生少量的废油脂，</w:t>
            </w:r>
            <w:r>
              <w:rPr>
                <w:rFonts w:hint="default" w:ascii="Times New Roman" w:hAnsi="Times New Roman" w:eastAsia="宋体" w:cs="Times New Roman"/>
                <w:color w:val="auto"/>
                <w:sz w:val="24"/>
                <w:szCs w:val="24"/>
                <w:highlight w:val="none"/>
                <w:lang w:val="en-US" w:eastAsia="zh-CN"/>
              </w:rPr>
              <w:t>产生的废油脂经收集后</w:t>
            </w:r>
            <w:r>
              <w:rPr>
                <w:rFonts w:hint="default" w:ascii="Times New Roman" w:hAnsi="Times New Roman" w:eastAsia="宋体" w:cs="Times New Roman"/>
                <w:color w:val="auto"/>
                <w:sz w:val="24"/>
                <w:szCs w:val="24"/>
                <w:highlight w:val="none"/>
              </w:rPr>
              <w:t>，交由相关单位进行回收处置。</w:t>
            </w:r>
          </w:p>
          <w:p w14:paraId="16164AF3">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污泥</w:t>
            </w:r>
          </w:p>
          <w:p w14:paraId="32AB3406">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根据已批复的《中清能禄劝县岩子头200MW生态修复光伏电站项目环境影响报告表》及现场调查，升压站</w:t>
            </w:r>
            <w:r>
              <w:rPr>
                <w:rFonts w:hint="default" w:ascii="Times New Roman" w:hAnsi="Times New Roman" w:eastAsia="宋体" w:cs="Times New Roman"/>
                <w:color w:val="auto"/>
                <w:sz w:val="24"/>
                <w:szCs w:val="24"/>
                <w:highlight w:val="none"/>
              </w:rPr>
              <w:t>污泥</w:t>
            </w:r>
            <w:r>
              <w:rPr>
                <w:rFonts w:hint="default" w:ascii="Times New Roman" w:hAnsi="Times New Roman" w:eastAsia="宋体" w:cs="Times New Roman"/>
                <w:color w:val="auto"/>
                <w:sz w:val="24"/>
                <w:szCs w:val="24"/>
                <w:highlight w:val="none"/>
                <w:lang w:val="en-US" w:eastAsia="zh-CN"/>
              </w:rPr>
              <w:t>主要</w:t>
            </w:r>
            <w:r>
              <w:rPr>
                <w:rFonts w:hint="default" w:ascii="Times New Roman" w:hAnsi="Times New Roman" w:eastAsia="宋体" w:cs="Times New Roman"/>
                <w:color w:val="auto"/>
                <w:sz w:val="24"/>
                <w:szCs w:val="24"/>
                <w:highlight w:val="none"/>
              </w:rPr>
              <w:t>来自化粪池和一体化污水处理站，由于废水主要为生活污水，污泥中主要含有有机物，</w:t>
            </w:r>
            <w:r>
              <w:rPr>
                <w:rFonts w:hint="default" w:ascii="Times New Roman" w:hAnsi="Times New Roman" w:eastAsia="宋体"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rPr>
              <w:t>清掏后用于</w:t>
            </w:r>
            <w:r>
              <w:rPr>
                <w:rFonts w:hint="default" w:ascii="Times New Roman" w:hAnsi="Times New Roman" w:eastAsia="宋体" w:cs="Times New Roman"/>
                <w:color w:val="auto"/>
                <w:sz w:val="24"/>
                <w:szCs w:val="24"/>
                <w:highlight w:val="none"/>
                <w:lang w:val="en-US" w:eastAsia="zh-CN"/>
              </w:rPr>
              <w:t>升压站站址</w:t>
            </w:r>
            <w:r>
              <w:rPr>
                <w:rFonts w:hint="default" w:ascii="Times New Roman" w:hAnsi="Times New Roman" w:eastAsia="宋体" w:cs="Times New Roman"/>
                <w:color w:val="auto"/>
                <w:sz w:val="24"/>
                <w:szCs w:val="24"/>
                <w:highlight w:val="none"/>
              </w:rPr>
              <w:t>周围植物施肥。</w:t>
            </w:r>
          </w:p>
          <w:p w14:paraId="7C7C7793">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含油抹布等检修废物</w:t>
            </w:r>
          </w:p>
          <w:p w14:paraId="056F3369">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w:t>
            </w:r>
            <w:r>
              <w:rPr>
                <w:rFonts w:hint="default" w:ascii="Times New Roman" w:hAnsi="Times New Roman" w:eastAsia="宋体" w:cs="Times New Roman"/>
                <w:color w:val="auto"/>
                <w:sz w:val="24"/>
                <w:szCs w:val="24"/>
                <w:highlight w:val="none"/>
              </w:rPr>
              <w:t>项目在检修的过程中，会使用抹布、棉纱等进行擦拭，会产生少量的含由抹布，根据《国家危险废物名录》（2021年版），含油抹布属于名单附录中危险废物豁免管理清单中900-041-49“废弃的含油抹布、劳保用品”，全部环节不按照危险废物管理，因此，检修过程中产生的含油抹布、棉纱等集中收集后，与生活垃圾一起运送至就近的垃圾收集点，与附近村庄垃圾一同处置。</w:t>
            </w:r>
          </w:p>
          <w:p w14:paraId="08EA05E6">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根据现场调查，由于目前升压站试运行时间较短，目前未进行过设备维修，未产生相关检修废物</w:t>
            </w:r>
            <w:r>
              <w:rPr>
                <w:rFonts w:hint="default" w:ascii="Times New Roman" w:hAnsi="Times New Roman" w:eastAsia="宋体" w:cs="Times New Roman"/>
                <w:color w:val="auto"/>
                <w:sz w:val="24"/>
                <w:szCs w:val="24"/>
                <w:highlight w:val="none"/>
                <w:lang w:eastAsia="zh-CN"/>
              </w:rPr>
              <w:t>。</w:t>
            </w:r>
          </w:p>
          <w:p w14:paraId="5D16FE26">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）废蓄电池</w:t>
            </w:r>
          </w:p>
          <w:p w14:paraId="1778FA6C">
            <w:pPr>
              <w:spacing w:line="360" w:lineRule="auto"/>
              <w:ind w:firstLine="48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w:t>
            </w:r>
            <w:r>
              <w:rPr>
                <w:rFonts w:hint="default" w:ascii="Times New Roman" w:hAnsi="Times New Roman" w:eastAsia="宋体" w:cs="Times New Roman"/>
                <w:bCs/>
                <w:color w:val="auto"/>
                <w:sz w:val="24"/>
                <w:szCs w:val="24"/>
                <w:highlight w:val="none"/>
              </w:rPr>
              <w:t>升压站在继电保护、仪表及事故照明时采用铅酸蓄电池作为应急能源，这些蓄电池由于全密封，无需加水维护，正常使用寿命不小于10 年。由于环境温度、充电电压、过放电等因素可能会影响电池寿命，产生的废旧蓄电池，预计产生量约为0.3t/次。对照《国家危险废物名录（2021年版）》，废铅蓄电池属于危险废物，废物类别为HW31含铅废物，废物代码900-052-31，评价要求废旧蓄电池采用专用容器分类在危废暂存间</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占地面积</w:t>
            </w:r>
            <w:r>
              <w:rPr>
                <w:rFonts w:hint="default" w:ascii="Times New Roman" w:hAnsi="Times New Roman" w:eastAsia="宋体" w:cs="Times New Roman"/>
                <w:color w:val="auto"/>
                <w:sz w:val="24"/>
                <w:szCs w:val="24"/>
                <w:highlight w:val="none"/>
              </w:rPr>
              <w:t>23.92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暂存，做好防火、防渗、防流失等措施，定期交由有资质单位处置。</w:t>
            </w:r>
          </w:p>
          <w:p w14:paraId="30CCDF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根据现场调查，升压站已按要求设置有1间危废暂存间（占地面积为39.32m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），危废暂存间已按要求进行防渗处理、已设置有标志、标识牌，并已与云南大地丰源环保有限公司签订危险废物处置协议（详见附件14）。由于试运行时间较短，升压站目前未产生废蓄电池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后期产生废蓄电池经收集后暂存于危废暂存间，定期委托云南大地丰源环保有限公司进行处置。</w:t>
            </w:r>
          </w:p>
          <w:p w14:paraId="72082EAB">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）废变压油</w:t>
            </w:r>
          </w:p>
          <w:p w14:paraId="264DFFD8">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w:t>
            </w:r>
            <w:r>
              <w:rPr>
                <w:rFonts w:hint="default" w:ascii="Times New Roman" w:hAnsi="Times New Roman" w:eastAsia="宋体" w:cs="Times New Roman"/>
                <w:color w:val="auto"/>
                <w:sz w:val="24"/>
                <w:szCs w:val="24"/>
                <w:highlight w:val="none"/>
              </w:rPr>
              <w:t>升压站主变在检修或事故状态下会产生废变压器油，根据《国家危险废物名录》（2021年版），废变压油为HW08变压器维护、更换和拆解过程中产生的废变压器油，属于危险废物。</w:t>
            </w:r>
            <w:r>
              <w:rPr>
                <w:rFonts w:hint="default" w:ascii="Times New Roman" w:hAnsi="Times New Roman" w:eastAsia="宋体" w:cs="Times New Roman"/>
                <w:color w:val="auto"/>
                <w:sz w:val="24"/>
                <w:szCs w:val="24"/>
                <w:highlight w:val="none"/>
                <w:lang w:val="en-US" w:eastAsia="zh-CN"/>
              </w:rPr>
              <w:t>该报告表要求</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lang w:val="en-US" w:eastAsia="zh-CN"/>
              </w:rPr>
              <w:t>主变下方设置1个容积为20m³的集油坑、并</w:t>
            </w:r>
            <w:r>
              <w:rPr>
                <w:rFonts w:hint="default" w:ascii="Times New Roman" w:hAnsi="Times New Roman" w:eastAsia="宋体" w:cs="Times New Roman"/>
                <w:color w:val="auto"/>
                <w:sz w:val="24"/>
                <w:szCs w:val="24"/>
                <w:highlight w:val="none"/>
              </w:rPr>
              <w:t>设置容积为50m³事故油池一个，废油泄漏</w:t>
            </w:r>
            <w:r>
              <w:rPr>
                <w:rFonts w:hint="default" w:ascii="Times New Roman" w:hAnsi="Times New Roman" w:eastAsia="宋体" w:cs="Times New Roman"/>
                <w:color w:val="auto"/>
                <w:sz w:val="24"/>
                <w:szCs w:val="24"/>
                <w:highlight w:val="none"/>
                <w:lang w:val="en-US" w:eastAsia="zh-CN"/>
              </w:rPr>
              <w:t>首先进入主变下方的集油坑，经管道流</w:t>
            </w:r>
            <w:r>
              <w:rPr>
                <w:rFonts w:hint="default" w:ascii="Times New Roman" w:hAnsi="Times New Roman" w:eastAsia="宋体" w:cs="Times New Roman"/>
                <w:color w:val="auto"/>
                <w:sz w:val="24"/>
                <w:szCs w:val="24"/>
                <w:highlight w:val="none"/>
              </w:rPr>
              <w:t>至事故油池</w:t>
            </w:r>
            <w:r>
              <w:rPr>
                <w:rFonts w:hint="default"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经回用后不可回用的废油渣收集、</w:t>
            </w:r>
            <w:r>
              <w:rPr>
                <w:rFonts w:hint="default" w:ascii="Times New Roman" w:hAnsi="Times New Roman" w:eastAsia="宋体" w:cs="Times New Roman"/>
                <w:color w:val="auto"/>
                <w:sz w:val="24"/>
                <w:szCs w:val="24"/>
                <w:highlight w:val="none"/>
              </w:rPr>
              <w:t>暂存于升压站危险废物暂存间</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占地面积</w:t>
            </w:r>
            <w:r>
              <w:rPr>
                <w:rFonts w:hint="default" w:ascii="Times New Roman" w:hAnsi="Times New Roman" w:eastAsia="宋体" w:cs="Times New Roman"/>
                <w:color w:val="auto"/>
                <w:sz w:val="24"/>
                <w:szCs w:val="24"/>
                <w:highlight w:val="none"/>
              </w:rPr>
              <w:t>23.92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rPr>
              <w:t>内，危险废物暂存间</w:t>
            </w:r>
            <w:r>
              <w:rPr>
                <w:rFonts w:hint="default" w:ascii="Times New Roman" w:hAnsi="Times New Roman" w:eastAsia="宋体" w:cs="Times New Roman"/>
                <w:bCs/>
                <w:color w:val="auto"/>
                <w:sz w:val="24"/>
                <w:szCs w:val="24"/>
                <w:highlight w:val="none"/>
              </w:rPr>
              <w:t>做好防火、防渗、防流失等措施，</w:t>
            </w:r>
            <w:r>
              <w:rPr>
                <w:rFonts w:hint="default" w:ascii="Times New Roman" w:hAnsi="Times New Roman" w:eastAsia="宋体" w:cs="Times New Roman"/>
                <w:color w:val="auto"/>
                <w:sz w:val="24"/>
                <w:szCs w:val="24"/>
                <w:highlight w:val="none"/>
              </w:rPr>
              <w:t>定期交有资质单位处置，对环境影响影响较小。</w:t>
            </w:r>
          </w:p>
          <w:bookmarkEnd w:id="195"/>
          <w:p w14:paraId="490EE4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根据现场调查，</w:t>
            </w:r>
            <w:r>
              <w:rPr>
                <w:rFonts w:hint="default" w:ascii="Times New Roman" w:hAnsi="Times New Roman" w:eastAsia="宋体" w:cs="Times New Roman"/>
                <w:color w:val="auto"/>
                <w:sz w:val="24"/>
                <w:szCs w:val="24"/>
                <w:highlight w:val="none"/>
                <w:lang w:val="en-US" w:eastAsia="zh-CN"/>
              </w:rPr>
              <w:t>升压站已按要求设置有1个主变集油坑（容积为20m³）、1个事故油池（容积为52.8m³）、1间危废暂存间（占地面积为39.32m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），其中危废暂存间已按要求进行防渗处理、已设置有标志、标识牌，并已与云南大地丰源环保有限公司签订危险废物处置协议（详见附件14）。由于试运行时间较短，升压站目前未产生</w:t>
            </w:r>
            <w:r>
              <w:rPr>
                <w:rFonts w:hint="default" w:ascii="Times New Roman" w:hAnsi="Times New Roman" w:eastAsia="宋体" w:cs="Times New Roman"/>
                <w:color w:val="auto"/>
                <w:sz w:val="24"/>
                <w:szCs w:val="24"/>
                <w:highlight w:val="none"/>
                <w:lang w:eastAsia="zh-CN"/>
              </w:rPr>
              <w:t>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w:t>
            </w:r>
            <w:r>
              <w:rPr>
                <w:rFonts w:hint="default" w:ascii="Times New Roman" w:hAnsi="Times New Roman" w:eastAsia="宋体" w:cs="Times New Roman"/>
                <w:color w:val="auto"/>
                <w:sz w:val="24"/>
                <w:szCs w:val="24"/>
                <w:highlight w:val="none"/>
                <w:lang w:val="en-US" w:eastAsia="zh-CN"/>
              </w:rPr>
              <w:t>后期产生废蓄电池及</w:t>
            </w:r>
            <w:r>
              <w:rPr>
                <w:rFonts w:hint="default" w:ascii="Times New Roman" w:hAnsi="Times New Roman" w:eastAsia="宋体" w:cs="Times New Roman"/>
                <w:color w:val="auto"/>
                <w:sz w:val="24"/>
                <w:szCs w:val="24"/>
                <w:highlight w:val="none"/>
                <w:lang w:eastAsia="zh-CN"/>
              </w:rPr>
              <w:t>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w:t>
            </w:r>
            <w:r>
              <w:rPr>
                <w:rFonts w:hint="default" w:ascii="Times New Roman" w:hAnsi="Times New Roman" w:eastAsia="宋体" w:cs="Times New Roman"/>
                <w:color w:val="auto"/>
                <w:sz w:val="24"/>
                <w:szCs w:val="24"/>
                <w:highlight w:val="none"/>
                <w:lang w:val="en-US" w:eastAsia="zh-CN"/>
              </w:rPr>
              <w:t>经收集后暂存于危废暂存间，定期委托云南大地丰源环保有限公司进行处置。</w:t>
            </w:r>
          </w:p>
          <w:p w14:paraId="313D9BD0">
            <w:pPr>
              <w:keepNext w:val="0"/>
              <w:keepLines w:val="0"/>
              <w:pageBreakBefore w:val="0"/>
              <w:kinsoku/>
              <w:wordWrap/>
              <w:overflowPunct/>
              <w:topLinePunct w:val="0"/>
              <w:autoSpaceDE/>
              <w:autoSpaceDN/>
              <w:bidi w:val="0"/>
              <w:adjustRightInd/>
              <w:snapToGrid/>
              <w:spacing w:line="336" w:lineRule="auto"/>
              <w:ind w:left="420" w:left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危险废物暂存间</w:t>
            </w:r>
            <w:r>
              <w:rPr>
                <w:rFonts w:hint="default" w:ascii="Times New Roman" w:hAnsi="Times New Roman" w:eastAsia="宋体" w:cs="Times New Roman"/>
                <w:b/>
                <w:bCs/>
                <w:color w:val="auto"/>
                <w:sz w:val="24"/>
                <w:highlight w:val="none"/>
                <w:lang w:val="en-US" w:eastAsia="zh-CN"/>
              </w:rPr>
              <w:t>管理</w:t>
            </w:r>
            <w:r>
              <w:rPr>
                <w:rFonts w:hint="default" w:ascii="Times New Roman" w:hAnsi="Times New Roman" w:eastAsia="宋体" w:cs="Times New Roman"/>
                <w:b/>
                <w:bCs/>
                <w:color w:val="auto"/>
                <w:sz w:val="24"/>
                <w:highlight w:val="none"/>
              </w:rPr>
              <w:t>要求：</w:t>
            </w:r>
          </w:p>
          <w:p w14:paraId="5386C225">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根据《危险废物贮存污染控制标准》（GB18597-2023）及《危险废物转移联单管理办法》的要求，产生的危险废物的贮存、管理提出如下要求：</w:t>
            </w:r>
          </w:p>
          <w:p w14:paraId="2DB79E83">
            <w:pPr>
              <w:pStyle w:val="22"/>
              <w:keepNext w:val="0"/>
              <w:keepLines w:val="0"/>
              <w:pageBreakBefore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szCs w:val="24"/>
                <w:highlight w:val="none"/>
              </w:rPr>
              <w:t>危险废物暂存间按要求设置明显标志牌，危险废物暂存间需做到“防风、防雨、防渗”，</w:t>
            </w:r>
            <w:r>
              <w:rPr>
                <w:rFonts w:hint="default" w:ascii="Times New Roman" w:hAnsi="Times New Roman" w:eastAsia="宋体" w:cs="Times New Roman"/>
                <w:color w:val="auto"/>
                <w:sz w:val="24"/>
                <w:szCs w:val="24"/>
                <w:highlight w:val="none"/>
                <w:lang w:val="en-US" w:eastAsia="zh-CN"/>
              </w:rPr>
              <w:t>防渗技术：对</w:t>
            </w:r>
            <w:r>
              <w:rPr>
                <w:rFonts w:hint="default" w:ascii="Times New Roman" w:hAnsi="Times New Roman" w:eastAsia="宋体" w:cs="Times New Roman"/>
                <w:color w:val="auto"/>
                <w:sz w:val="24"/>
                <w:szCs w:val="24"/>
                <w:highlight w:val="none"/>
                <w:lang w:eastAsia="zh-CN"/>
              </w:rPr>
              <w:t>危废暂存间的基础地面</w:t>
            </w:r>
            <w:r>
              <w:rPr>
                <w:rFonts w:hint="default" w:ascii="Times New Roman" w:hAnsi="Times New Roman" w:eastAsia="宋体" w:cs="Times New Roman"/>
                <w:color w:val="auto"/>
                <w:sz w:val="24"/>
                <w:szCs w:val="24"/>
                <w:highlight w:val="none"/>
                <w:lang w:val="en-US" w:eastAsia="zh-CN"/>
              </w:rPr>
              <w:t>采取</w:t>
            </w:r>
            <w:r>
              <w:rPr>
                <w:rFonts w:hint="default" w:ascii="Times New Roman" w:hAnsi="Times New Roman" w:eastAsia="宋体" w:cs="Times New Roman"/>
                <w:color w:val="auto"/>
                <w:sz w:val="24"/>
                <w:szCs w:val="24"/>
                <w:highlight w:val="none"/>
                <w:lang w:eastAsia="zh-CN"/>
              </w:rPr>
              <w:t>防渗</w:t>
            </w:r>
            <w:r>
              <w:rPr>
                <w:rFonts w:hint="default" w:ascii="Times New Roman" w:hAnsi="Times New Roman" w:eastAsia="宋体" w:cs="Times New Roman"/>
                <w:color w:val="auto"/>
                <w:sz w:val="24"/>
                <w:szCs w:val="24"/>
                <w:highlight w:val="none"/>
                <w:lang w:val="en-US" w:eastAsia="zh-CN"/>
              </w:rPr>
              <w:t>措施</w:t>
            </w:r>
            <w:r>
              <w:rPr>
                <w:rFonts w:hint="default" w:ascii="Times New Roman" w:hAnsi="Times New Roman" w:eastAsia="宋体" w:cs="Times New Roman"/>
                <w:color w:val="auto"/>
                <w:sz w:val="24"/>
                <w:szCs w:val="24"/>
                <w:highlight w:val="none"/>
                <w:lang w:eastAsia="zh-CN"/>
              </w:rPr>
              <w:t>，防渗层为至少1m厚粘土层（渗透系数不大于10</w:t>
            </w:r>
            <w:r>
              <w:rPr>
                <w:rFonts w:hint="default" w:ascii="Times New Roman" w:hAnsi="Times New Roman" w:eastAsia="宋体" w:cs="Times New Roman"/>
                <w:color w:val="auto"/>
                <w:sz w:val="24"/>
                <w:szCs w:val="24"/>
                <w:highlight w:val="none"/>
                <w:vertAlign w:val="superscript"/>
                <w:lang w:eastAsia="zh-CN"/>
              </w:rPr>
              <w:t>-7</w:t>
            </w:r>
            <w:r>
              <w:rPr>
                <w:rFonts w:hint="default" w:ascii="Times New Roman" w:hAnsi="Times New Roman" w:eastAsia="宋体" w:cs="Times New Roman"/>
                <w:color w:val="auto"/>
                <w:sz w:val="24"/>
                <w:szCs w:val="24"/>
                <w:highlight w:val="none"/>
                <w:lang w:eastAsia="zh-CN"/>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lang w:eastAsia="zh-CN"/>
              </w:rPr>
              <w:t>-10</w:t>
            </w:r>
            <w:r>
              <w:rPr>
                <w:rFonts w:hint="default" w:ascii="Times New Roman" w:hAnsi="Times New Roman" w:eastAsia="宋体" w:cs="Times New Roman"/>
                <w:color w:val="auto"/>
                <w:sz w:val="24"/>
                <w:szCs w:val="24"/>
                <w:highlight w:val="none"/>
                <w:lang w:eastAsia="zh-CN"/>
              </w:rPr>
              <w:t>cm/s），或其他防渗性能等效材料</w:t>
            </w:r>
            <w:r>
              <w:rPr>
                <w:rFonts w:hint="default" w:ascii="Times New Roman" w:hAnsi="Times New Roman" w:eastAsia="宋体" w:cs="Times New Roman"/>
                <w:color w:val="auto"/>
                <w:sz w:val="24"/>
                <w:szCs w:val="24"/>
                <w:highlight w:val="none"/>
              </w:rPr>
              <w:t>。</w:t>
            </w:r>
          </w:p>
          <w:p w14:paraId="24CBCE39">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2）危险废物分类收集，用专用容器包装，暂存于危险废物暂存库，并做好记录，交由有资质单位回收处置。</w:t>
            </w:r>
          </w:p>
          <w:p w14:paraId="26D840E4">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必须作好危险废物记录，记录上须注明危险废物的名称、来源、数量、特性和包装容器的类别、入库日期、存放库位、废物出库日期及接收单位名称。危险废物的记录和货单在危险废物回取后应继续保留三年。</w:t>
            </w:r>
          </w:p>
          <w:p w14:paraId="7F1715E7">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4）危废暂存的要求</w:t>
            </w:r>
          </w:p>
          <w:p w14:paraId="48DB2F41">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根据《危险废物贮存污染控制标准》（GB18597-2023），本报告对项目产生的危险废物的贮存、管理提出如下要求：</w:t>
            </w:r>
          </w:p>
          <w:p w14:paraId="1104C58E">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危险废物必须装入符合标准的容器内，设置危废收集桶；</w:t>
            </w:r>
            <w:r>
              <w:rPr>
                <w:rFonts w:hint="default" w:ascii="Times New Roman" w:hAnsi="Times New Roman" w:eastAsia="宋体" w:cs="Times New Roman"/>
                <w:color w:val="auto"/>
                <w:kern w:val="2"/>
                <w:sz w:val="24"/>
                <w:szCs w:val="20"/>
                <w:highlight w:val="none"/>
                <w:lang w:val="en-US" w:eastAsia="zh-CN" w:bidi="ar-SA"/>
              </w:rPr>
              <w:t>废铅酸蓄电池使用聚四氟乙烯托盘，收集电解液渗漏。</w:t>
            </w:r>
          </w:p>
          <w:p w14:paraId="1491AE78">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贮存具备“四防”要求（防风、防雨、防渗透）；</w:t>
            </w:r>
          </w:p>
          <w:p w14:paraId="23556036">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3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③</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危险废物暂存库门口及盛装危险废物的容器上按《危险废物识别标志设置技术规范》（HJ 1276</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2022）相关规定设置标签、警示标志、标识牌；</w:t>
            </w:r>
          </w:p>
          <w:p w14:paraId="6D8E1922">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4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④</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地面与裙脚要按照《危险废物贮存污染控制标准》（GB18597-2023）相关要求对危险废物贮存间地面进行硬化及防渗处理；</w:t>
            </w:r>
          </w:p>
          <w:p w14:paraId="0C723FEC">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5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⑤</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必须有耐腐蚀的硬化地面，且表面无裂隙；</w:t>
            </w:r>
          </w:p>
          <w:p w14:paraId="50CDCECC">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6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⑥</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设施内要有安全照明设施；</w:t>
            </w:r>
          </w:p>
          <w:p w14:paraId="17397569">
            <w:pPr>
              <w:keepNext w:val="0"/>
              <w:keepLines w:val="0"/>
              <w:pageBreakBefore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7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⑦</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必须定期对所贮存的危险废物包装容器及贮存设施进行检查，发现破损，应及时采取措施清理更换</w:t>
            </w:r>
            <w:r>
              <w:rPr>
                <w:rFonts w:hint="default" w:ascii="Times New Roman" w:hAnsi="Times New Roman" w:eastAsia="宋体" w:cs="Times New Roman"/>
                <w:color w:val="auto"/>
                <w:sz w:val="24"/>
                <w:highlight w:val="none"/>
                <w:lang w:eastAsia="zh-CN"/>
              </w:rPr>
              <w:t>。</w:t>
            </w:r>
          </w:p>
          <w:p w14:paraId="3B4080F8">
            <w:pPr>
              <w:keepNext w:val="0"/>
              <w:keepLines w:val="0"/>
              <w:pageBreakBefore w:val="0"/>
              <w:widowControl w:val="0"/>
              <w:kinsoku/>
              <w:wordWrap/>
              <w:overflowPunct/>
              <w:topLinePunct w:val="0"/>
              <w:autoSpaceDE/>
              <w:autoSpaceDN/>
              <w:bidi w:val="0"/>
              <w:adjustRightInd/>
              <w:snapToGrid/>
              <w:spacing w:line="336" w:lineRule="auto"/>
              <w:ind w:firstLine="51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根据分析可知，升压站已按中清能禄劝县岩子头200MW生态修复光伏电站项目环境影响报告表》及其环评批复的要求设置相关固废治理措施，升压站</w:t>
            </w:r>
            <w:r>
              <w:rPr>
                <w:rFonts w:hint="default" w:ascii="Times New Roman" w:hAnsi="Times New Roman" w:eastAsia="宋体" w:cs="Times New Roman"/>
                <w:color w:val="auto"/>
                <w:sz w:val="24"/>
                <w:szCs w:val="24"/>
                <w:highlight w:val="none"/>
                <w:lang w:val="en-US" w:eastAsia="zh-CN"/>
              </w:rPr>
              <w:t>运营期</w:t>
            </w:r>
            <w:r>
              <w:rPr>
                <w:rFonts w:hint="default" w:ascii="Times New Roman" w:hAnsi="Times New Roman" w:eastAsia="宋体" w:cs="Times New Roman"/>
                <w:color w:val="auto"/>
                <w:sz w:val="24"/>
                <w:szCs w:val="24"/>
                <w:highlight w:val="none"/>
              </w:rPr>
              <w:t>固体废弃物</w:t>
            </w:r>
            <w:r>
              <w:rPr>
                <w:rFonts w:hint="default" w:ascii="Times New Roman" w:hAnsi="Times New Roman" w:eastAsia="宋体" w:cs="Times New Roman"/>
                <w:color w:val="auto"/>
                <w:sz w:val="24"/>
                <w:szCs w:val="24"/>
                <w:highlight w:val="none"/>
                <w:lang w:val="en-US" w:eastAsia="zh-CN"/>
              </w:rPr>
              <w:t>均可得到合理处置，</w:t>
            </w:r>
            <w:r>
              <w:rPr>
                <w:rFonts w:hint="default" w:ascii="Times New Roman" w:hAnsi="Times New Roman" w:eastAsia="宋体" w:cs="Times New Roman"/>
                <w:color w:val="auto"/>
                <w:sz w:val="24"/>
                <w:szCs w:val="24"/>
                <w:highlight w:val="none"/>
              </w:rPr>
              <w:t>处置率100%，对周围环境影响较小。</w:t>
            </w:r>
          </w:p>
          <w:p w14:paraId="56506821">
            <w:pPr>
              <w:pStyle w:val="4"/>
              <w:pageBreakBefore w:val="0"/>
              <w:kinsoku/>
              <w:wordWrap/>
              <w:overflowPunct/>
              <w:topLinePunct w:val="0"/>
              <w:autoSpaceDE/>
              <w:autoSpaceDN/>
              <w:bidi w:val="0"/>
              <w:adjustRightInd/>
              <w:snapToGrid/>
              <w:spacing w:before="0" w:after="0" w:line="348" w:lineRule="auto"/>
              <w:ind w:firstLine="480" w:firstLineChars="200"/>
              <w:textAlignment w:val="auto"/>
              <w:rPr>
                <w:rFonts w:hint="default" w:ascii="Times New Roman" w:hAnsi="Times New Roman" w:eastAsia="宋体" w:cs="Times New Roman"/>
                <w:color w:val="auto"/>
                <w:sz w:val="24"/>
                <w:szCs w:val="24"/>
                <w:highlight w:val="none"/>
              </w:rPr>
            </w:pPr>
            <w:bookmarkStart w:id="196" w:name="_Toc13864"/>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b/>
                <w:bCs/>
                <w:color w:val="auto"/>
                <w:kern w:val="2"/>
                <w:sz w:val="24"/>
                <w:szCs w:val="24"/>
                <w:highlight w:val="none"/>
                <w:lang w:val="en-US" w:eastAsia="zh-CN" w:bidi="ar-SA"/>
              </w:rPr>
              <w:t xml:space="preserve"> </w:t>
            </w:r>
            <w:bookmarkStart w:id="197" w:name="_Toc18031"/>
            <w:bookmarkStart w:id="198" w:name="_Toc11195"/>
            <w:bookmarkStart w:id="199" w:name="_Toc30032"/>
            <w:bookmarkStart w:id="200" w:name="_Toc14543"/>
            <w:r>
              <w:rPr>
                <w:rFonts w:hint="default" w:ascii="Times New Roman" w:hAnsi="Times New Roman" w:eastAsia="宋体" w:cs="Times New Roman"/>
                <w:b/>
                <w:bCs/>
                <w:color w:val="auto"/>
                <w:kern w:val="2"/>
                <w:sz w:val="24"/>
                <w:szCs w:val="24"/>
                <w:highlight w:val="none"/>
                <w:lang w:val="en-US" w:eastAsia="zh-CN" w:bidi="ar-SA"/>
              </w:rPr>
              <w:t>（六）</w:t>
            </w:r>
            <w:bookmarkEnd w:id="196"/>
            <w:bookmarkStart w:id="201" w:name="_Toc22346"/>
            <w:r>
              <w:rPr>
                <w:rFonts w:hint="default" w:ascii="Times New Roman" w:hAnsi="Times New Roman" w:eastAsia="宋体" w:cs="Times New Roman"/>
                <w:b/>
                <w:bCs/>
                <w:color w:val="auto"/>
                <w:kern w:val="2"/>
                <w:sz w:val="24"/>
                <w:szCs w:val="24"/>
                <w:highlight w:val="none"/>
                <w:lang w:val="en-US" w:eastAsia="zh-CN" w:bidi="ar-SA"/>
              </w:rPr>
              <w:t>环境风险分析</w:t>
            </w:r>
            <w:bookmarkEnd w:id="197"/>
            <w:bookmarkEnd w:id="198"/>
            <w:bookmarkEnd w:id="199"/>
            <w:bookmarkEnd w:id="200"/>
            <w:bookmarkEnd w:id="201"/>
          </w:p>
          <w:p w14:paraId="40CAE055">
            <w:pPr>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bookmarkStart w:id="202" w:name="_Toc508271661"/>
            <w:bookmarkStart w:id="203" w:name="_Toc528059301"/>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该报告表中已对升压站运行过程环境风险进行分析，升压站运营期涉及的环境风险物质主要为变压器油、废蓄电池及设备运营维护过程中产生的少量废矿物油，</w:t>
            </w:r>
            <w:r>
              <w:rPr>
                <w:rFonts w:hint="default" w:ascii="Times New Roman" w:hAnsi="Times New Roman" w:eastAsia="宋体" w:cs="Times New Roman"/>
                <w:bCs/>
                <w:color w:val="auto"/>
                <w:sz w:val="24"/>
                <w:szCs w:val="24"/>
                <w:highlight w:val="none"/>
              </w:rPr>
              <w:t>由于废蓄电池为固体状态，且更换频率较小，1~2年一次，更换后对及时委托有资质单位进行处置，正常情况环境风险</w:t>
            </w:r>
            <w:r>
              <w:rPr>
                <w:rFonts w:hint="default" w:ascii="Times New Roman" w:hAnsi="Times New Roman" w:eastAsia="宋体" w:cs="Times New Roman"/>
                <w:bCs/>
                <w:color w:val="auto"/>
                <w:sz w:val="24"/>
                <w:szCs w:val="24"/>
                <w:highlight w:val="none"/>
                <w:lang w:val="en-US" w:eastAsia="zh-CN"/>
              </w:rPr>
              <w:t>概率极小</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根据已批复的《中清能禄劝县岩子头200MW生态修复光伏电站项目环境影响报告表》，中清能禄劝县岩子头200MW生态修复光伏电站项目Q=0.05842＜1，环境风险潜势为Ⅰ级，为环境风险简单分析。</w:t>
            </w:r>
          </w:p>
          <w:p w14:paraId="33AEC168">
            <w:pPr>
              <w:keepNext/>
              <w:keepLines/>
              <w:adjustRightInd w:val="0"/>
              <w:spacing w:line="360" w:lineRule="auto"/>
              <w:ind w:firstLine="482"/>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根据已批复的《中清能禄劝县岩子头200MW生态修复光伏电站项目环境影响报告表》，对升压站提出了如下环境风险防范措施及应急要求、分析结论如下：</w:t>
            </w:r>
          </w:p>
          <w:p w14:paraId="1B77B495">
            <w:pPr>
              <w:spacing w:line="360" w:lineRule="auto"/>
              <w:ind w:firstLine="48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1、环境风险防范措施及应急要求</w:t>
            </w:r>
          </w:p>
          <w:p w14:paraId="0BC7AEEA">
            <w:pPr>
              <w:spacing w:line="360" w:lineRule="auto"/>
              <w:ind w:firstLine="48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w:t>
            </w:r>
            <w:r>
              <w:rPr>
                <w:rFonts w:hint="default" w:ascii="Times New Roman" w:hAnsi="Times New Roman" w:eastAsia="宋体" w:cs="Times New Roman"/>
                <w:color w:val="auto"/>
                <w:kern w:val="0"/>
                <w:sz w:val="24"/>
                <w:szCs w:val="24"/>
                <w:highlight w:val="none"/>
              </w:rPr>
              <w:t>环境风险防范措施</w:t>
            </w:r>
          </w:p>
          <w:p w14:paraId="5C4D5F53">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①升压站设置一个50m³的事故油池，并设施危险废物暂存间一座。事故油池、集油池和危险废物在其下方基础层铺设防渗层，防渗层为至少1m厚的黏土层（渗透系数 ≤10</w:t>
            </w:r>
            <w:r>
              <w:rPr>
                <w:rFonts w:hint="default" w:ascii="Times New Roman" w:hAnsi="Times New Roman" w:eastAsia="宋体" w:cs="Times New Roman"/>
                <w:color w:val="auto"/>
                <w:sz w:val="24"/>
                <w:szCs w:val="24"/>
                <w:highlight w:val="none"/>
                <w:vertAlign w:val="superscript"/>
              </w:rPr>
              <w:t xml:space="preserve">-7 </w:t>
            </w:r>
            <w:r>
              <w:rPr>
                <w:rFonts w:hint="default" w:ascii="Times New Roman" w:hAnsi="Times New Roman" w:eastAsia="宋体" w:cs="Times New Roman"/>
                <w:color w:val="auto"/>
                <w:sz w:val="24"/>
                <w:szCs w:val="24"/>
                <w:highlight w:val="none"/>
              </w:rPr>
              <w:t>cm/s），或2mm厚高密度聚乙烯，或至少2mm厚的其它人工材料， 渗透系数≤10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cm/s，防渗效果能满足《危险废物贮存污染控制标准》 （GB18597-2023）中的相关要求。</w:t>
            </w:r>
          </w:p>
          <w:p w14:paraId="3795AE9B">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②运营期定期检查各储存设施，避免出现泄漏等不良情况；</w:t>
            </w:r>
          </w:p>
          <w:p w14:paraId="3F5F8A47">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③危险废物的贮存严格按照《危险废物贮存污染控制标准》（GB18597-2023）的相关要求执行；</w:t>
            </w:r>
          </w:p>
          <w:p w14:paraId="443B1198">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bCs/>
                <w:color w:val="auto"/>
                <w:sz w:val="24"/>
                <w:szCs w:val="24"/>
                <w:highlight w:val="none"/>
              </w:rPr>
              <w:t>在管理过程中，将废铅蓄电池暂存于加盖的专用容器中，定期委托有资质单位处置；</w:t>
            </w:r>
            <w:r>
              <w:rPr>
                <w:rFonts w:hint="default" w:ascii="Times New Roman" w:hAnsi="Times New Roman" w:eastAsia="宋体" w:cs="Times New Roman"/>
                <w:color w:val="auto"/>
                <w:sz w:val="24"/>
                <w:szCs w:val="24"/>
                <w:highlight w:val="none"/>
              </w:rPr>
              <w:t xml:space="preserve"> </w:t>
            </w:r>
          </w:p>
          <w:p w14:paraId="01D133F7">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⑤</w:t>
            </w:r>
            <w:r>
              <w:rPr>
                <w:rFonts w:hint="default" w:ascii="Times New Roman" w:hAnsi="Times New Roman" w:eastAsia="宋体" w:cs="Times New Roman"/>
                <w:color w:val="auto"/>
                <w:sz w:val="24"/>
                <w:szCs w:val="24"/>
                <w:highlight w:val="none"/>
              </w:rPr>
              <w:t>加强对操作人员的岗位培训，建立健全的环保管理机制和各项环保规章制度，落实岗位环保责任制，加强环境风险防范工作，防止事故排放导致环境问题；</w:t>
            </w:r>
          </w:p>
          <w:p w14:paraId="4F188654">
            <w:pPr>
              <w:spacing w:line="360" w:lineRule="auto"/>
              <w:ind w:firstLine="480"/>
              <w:rPr>
                <w:rFonts w:hint="default" w:ascii="Times New Roman" w:hAnsi="Times New Roman" w:eastAsia="宋体" w:cs="Times New Roman"/>
                <w:bCs/>
                <w:color w:val="auto"/>
                <w:sz w:val="24"/>
                <w:szCs w:val="24"/>
                <w:highlight w:val="none"/>
              </w:rPr>
            </w:pPr>
            <w:bookmarkStart w:id="204" w:name="_Toc75973087"/>
            <w:r>
              <w:rPr>
                <w:rFonts w:hint="default" w:ascii="Times New Roman" w:hAnsi="Times New Roman" w:eastAsia="宋体" w:cs="Times New Roman"/>
                <w:bCs/>
                <w:color w:val="auto"/>
                <w:sz w:val="24"/>
                <w:szCs w:val="24"/>
                <w:highlight w:val="none"/>
              </w:rPr>
              <w:t>（2）突发环境风险事件应急预案</w:t>
            </w:r>
            <w:bookmarkEnd w:id="204"/>
          </w:p>
          <w:p w14:paraId="285B6440">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针对项目可能发生的突发事故，为了将风险事故率降低到最小，建设单位应编制突发环境事件应急预案并报当地生态环境局备案。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w:t>
            </w:r>
          </w:p>
          <w:p w14:paraId="37BA0998">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、环境风险分析结论</w:t>
            </w:r>
          </w:p>
          <w:p w14:paraId="6611D543">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项目环境风险潜势为I，不设评价等级，仅进行简单分析。</w:t>
            </w:r>
            <w:bookmarkStart w:id="205" w:name="_Toc71546612"/>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val="en-US" w:eastAsia="zh-CN"/>
              </w:rPr>
              <w:t>经</w:t>
            </w:r>
            <w:r>
              <w:rPr>
                <w:rFonts w:hint="default" w:ascii="Times New Roman" w:hAnsi="Times New Roman" w:eastAsia="宋体" w:cs="Times New Roman"/>
                <w:color w:val="auto"/>
                <w:sz w:val="24"/>
                <w:szCs w:val="24"/>
                <w:highlight w:val="none"/>
              </w:rPr>
              <w:t>按</w:t>
            </w:r>
            <w:r>
              <w:rPr>
                <w:rFonts w:hint="default" w:ascii="Times New Roman" w:hAnsi="Times New Roman" w:eastAsia="宋体" w:cs="Times New Roman"/>
                <w:color w:val="auto"/>
                <w:sz w:val="24"/>
                <w:szCs w:val="24"/>
                <w:highlight w:val="none"/>
                <w:lang w:val="en-US" w:eastAsia="zh-CN"/>
              </w:rPr>
              <w:t>要求进行</w:t>
            </w:r>
            <w:r>
              <w:rPr>
                <w:rFonts w:hint="default" w:ascii="Times New Roman" w:hAnsi="Times New Roman" w:eastAsia="宋体" w:cs="Times New Roman"/>
                <w:color w:val="auto"/>
                <w:sz w:val="24"/>
                <w:szCs w:val="24"/>
                <w:highlight w:val="none"/>
              </w:rPr>
              <w:t>环境管理措施</w:t>
            </w:r>
            <w:r>
              <w:rPr>
                <w:rFonts w:hint="default" w:ascii="Times New Roman" w:hAnsi="Times New Roman" w:eastAsia="宋体" w:cs="Times New Roman"/>
                <w:color w:val="auto"/>
                <w:sz w:val="24"/>
                <w:szCs w:val="24"/>
                <w:highlight w:val="none"/>
                <w:lang w:val="en-US" w:eastAsia="zh-CN"/>
              </w:rPr>
              <w:t>建设和</w:t>
            </w:r>
            <w:r>
              <w:rPr>
                <w:rFonts w:hint="default" w:ascii="Times New Roman" w:hAnsi="Times New Roman" w:eastAsia="宋体" w:cs="Times New Roman"/>
                <w:color w:val="auto"/>
                <w:sz w:val="24"/>
                <w:szCs w:val="24"/>
                <w:highlight w:val="none"/>
              </w:rPr>
              <w:t>实施，项目环境风险影响范围较小，环境风险可接受。</w:t>
            </w:r>
            <w:bookmarkEnd w:id="205"/>
          </w:p>
          <w:p w14:paraId="6934F749">
            <w:pPr>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根据现场调查，升压站已按按要求对危废暂存间、事故油池等进行“三防”处理，并于危废暂存间设置有标识牌、台账等，并加强了管理工作，目前中清能禄劝县岩子头200MW生态修复光伏电站项目突发环境事件应急预案（含升压站）正在编制中，编制完成后按要求报相关部门进行备案，并在后期运营过程中加强管理及应急演练，将风险事故率降低到最小，若一旦发生事故立即启动应急预案。</w:t>
            </w:r>
            <w:bookmarkEnd w:id="202"/>
            <w:bookmarkEnd w:id="203"/>
          </w:p>
        </w:tc>
      </w:tr>
      <w:tr w14:paraId="7AAB6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3" w:type="pct"/>
            <w:tcMar>
              <w:left w:w="28" w:type="dxa"/>
              <w:right w:w="28" w:type="dxa"/>
            </w:tcMar>
            <w:vAlign w:val="center"/>
          </w:tcPr>
          <w:p w14:paraId="25F3A58C">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val="0"/>
                <w:color w:val="auto"/>
                <w:kern w:val="2"/>
                <w:highlight w:val="none"/>
                <w:lang w:val="en-US" w:eastAsia="zh-CN"/>
              </w:rPr>
            </w:pPr>
            <w:r>
              <w:rPr>
                <w:rFonts w:hint="default" w:ascii="Times New Roman" w:hAnsi="Times New Roman" w:eastAsia="宋体" w:cs="Times New Roman"/>
                <w:b/>
                <w:bCs w:val="0"/>
                <w:color w:val="auto"/>
                <w:kern w:val="2"/>
                <w:highlight w:val="none"/>
                <w:lang w:val="en-US" w:eastAsia="zh-CN"/>
              </w:rPr>
              <w:t>选址</w:t>
            </w:r>
          </w:p>
          <w:p w14:paraId="43B95E8D">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val="0"/>
                <w:color w:val="auto"/>
                <w:kern w:val="2"/>
                <w:highlight w:val="none"/>
              </w:rPr>
            </w:pPr>
            <w:r>
              <w:rPr>
                <w:rFonts w:hint="default" w:ascii="Times New Roman" w:hAnsi="Times New Roman" w:eastAsia="宋体" w:cs="Times New Roman"/>
                <w:b/>
                <w:bCs w:val="0"/>
                <w:color w:val="auto"/>
                <w:kern w:val="2"/>
                <w:highlight w:val="none"/>
              </w:rPr>
              <w:t>环境</w:t>
            </w:r>
          </w:p>
          <w:p w14:paraId="175FD0C6">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val="0"/>
                <w:color w:val="auto"/>
                <w:kern w:val="2"/>
                <w:highlight w:val="none"/>
              </w:rPr>
            </w:pPr>
            <w:r>
              <w:rPr>
                <w:rFonts w:hint="default" w:ascii="Times New Roman" w:hAnsi="Times New Roman" w:eastAsia="宋体" w:cs="Times New Roman"/>
                <w:b/>
                <w:bCs w:val="0"/>
                <w:color w:val="auto"/>
                <w:kern w:val="2"/>
                <w:highlight w:val="none"/>
              </w:rPr>
              <w:t>合理</w:t>
            </w:r>
          </w:p>
          <w:p w14:paraId="582652ED">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val="0"/>
                <w:color w:val="auto"/>
                <w:kern w:val="2"/>
                <w:highlight w:val="none"/>
              </w:rPr>
            </w:pPr>
            <w:r>
              <w:rPr>
                <w:rFonts w:hint="default" w:ascii="Times New Roman" w:hAnsi="Times New Roman" w:eastAsia="宋体" w:cs="Times New Roman"/>
                <w:b/>
                <w:bCs w:val="0"/>
                <w:color w:val="auto"/>
                <w:kern w:val="2"/>
                <w:highlight w:val="none"/>
              </w:rPr>
              <w:t>性分</w:t>
            </w:r>
          </w:p>
          <w:p w14:paraId="3A7A4FA6">
            <w:pPr>
              <w:pStyle w:val="43"/>
              <w:keepNext w:val="0"/>
              <w:keepLines w:val="0"/>
              <w:pageBreakBefore w:val="0"/>
              <w:widowControl/>
              <w:kinsoku/>
              <w:wordWrap/>
              <w:overflowPunct/>
              <w:topLinePunct w:val="0"/>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val="0"/>
                <w:color w:val="auto"/>
                <w:spacing w:val="10"/>
                <w:kern w:val="2"/>
                <w:highlight w:val="none"/>
              </w:rPr>
            </w:pPr>
            <w:r>
              <w:rPr>
                <w:rFonts w:hint="default" w:ascii="Times New Roman" w:hAnsi="Times New Roman" w:eastAsia="宋体" w:cs="Times New Roman"/>
                <w:b/>
                <w:bCs w:val="0"/>
                <w:color w:val="auto"/>
                <w:kern w:val="2"/>
                <w:highlight w:val="none"/>
              </w:rPr>
              <w:t>析</w:t>
            </w:r>
          </w:p>
        </w:tc>
        <w:tc>
          <w:tcPr>
            <w:tcW w:w="4666" w:type="pct"/>
            <w:tcBorders>
              <w:top w:val="single" w:color="auto" w:sz="4" w:space="0"/>
            </w:tcBorders>
            <w:vAlign w:val="top"/>
          </w:tcPr>
          <w:p w14:paraId="1D83FF8B">
            <w:pPr>
              <w:pStyle w:val="16"/>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2"/>
                <w:highlight w:val="none"/>
                <w:u w:val="none"/>
                <w:lang w:val="en-US" w:eastAsia="zh-CN"/>
              </w:rPr>
            </w:pPr>
            <w:r>
              <w:rPr>
                <w:rFonts w:hint="default" w:ascii="Times New Roman" w:hAnsi="Times New Roman" w:eastAsia="宋体" w:cs="Times New Roman"/>
                <w:color w:val="auto"/>
                <w:sz w:val="24"/>
                <w:highlight w:val="none"/>
              </w:rPr>
              <w:t>本项目220kV升压站</w:t>
            </w:r>
            <w:r>
              <w:rPr>
                <w:rFonts w:hint="default" w:ascii="Times New Roman" w:hAnsi="Times New Roman" w:eastAsia="宋体" w:cs="Times New Roman"/>
                <w:color w:val="auto"/>
                <w:sz w:val="24"/>
                <w:highlight w:val="none"/>
                <w:lang w:val="en-US" w:eastAsia="zh-CN"/>
              </w:rPr>
              <w:t>位于</w:t>
            </w:r>
            <w:r>
              <w:rPr>
                <w:rFonts w:hint="default" w:ascii="Times New Roman" w:hAnsi="Times New Roman" w:eastAsia="宋体" w:cs="Times New Roman"/>
                <w:color w:val="auto"/>
                <w:sz w:val="24"/>
                <w:szCs w:val="24"/>
                <w:highlight w:val="none"/>
                <w:u w:val="none"/>
                <w:lang w:eastAsia="zh-CN"/>
              </w:rPr>
              <w:t>昆明市禄劝县团街镇</w:t>
            </w:r>
            <w:r>
              <w:rPr>
                <w:rFonts w:hint="default" w:ascii="Times New Roman" w:hAnsi="Times New Roman" w:eastAsia="宋体" w:cs="Times New Roman"/>
                <w:color w:val="auto"/>
                <w:sz w:val="24"/>
                <w:szCs w:val="24"/>
                <w:highlight w:val="none"/>
                <w:u w:val="none"/>
                <w:lang w:val="en-US" w:eastAsia="zh-CN"/>
              </w:rPr>
              <w:t>境内，位于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原占地范围内，</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升压站，升压站建设</w:t>
            </w:r>
            <w:r>
              <w:rPr>
                <w:rFonts w:hint="default" w:ascii="Times New Roman" w:hAnsi="Times New Roman" w:eastAsia="宋体" w:cs="Times New Roman"/>
                <w:color w:val="auto"/>
                <w:sz w:val="24"/>
                <w:highlight w:val="none"/>
              </w:rPr>
              <w:t>位置与《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环境影响报告表》中一致，</w:t>
            </w:r>
            <w:r>
              <w:rPr>
                <w:rFonts w:hint="default" w:ascii="Times New Roman" w:hAnsi="Times New Roman" w:eastAsia="宋体" w:cs="Times New Roman"/>
                <w:color w:val="auto"/>
                <w:sz w:val="24"/>
                <w:szCs w:val="24"/>
                <w:highlight w:val="none"/>
                <w:u w:val="none"/>
              </w:rPr>
              <w:t>升压站土建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等内容已在已批复</w:t>
            </w:r>
            <w:r>
              <w:rPr>
                <w:rFonts w:hint="default" w:ascii="Times New Roman" w:hAnsi="Times New Roman" w:eastAsia="宋体" w:cs="Times New Roman"/>
                <w:color w:val="auto"/>
                <w:kern w:val="0"/>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rPr>
              <w:t>中清能禄劝县岩子头200MW生态修复光伏电站项目</w:t>
            </w:r>
            <w:r>
              <w:rPr>
                <w:rFonts w:hint="default" w:ascii="Times New Roman" w:hAnsi="Times New Roman" w:eastAsia="宋体" w:cs="Times New Roman"/>
                <w:color w:val="auto"/>
                <w:sz w:val="24"/>
                <w:szCs w:val="24"/>
                <w:highlight w:val="none"/>
                <w:u w:val="none"/>
                <w:lang w:val="en-US" w:eastAsia="zh-CN"/>
              </w:rPr>
              <w:t>环境影响报告表</w:t>
            </w:r>
            <w:r>
              <w:rPr>
                <w:rFonts w:hint="default" w:ascii="Times New Roman" w:hAnsi="Times New Roman" w:eastAsia="宋体" w:cs="Times New Roman"/>
                <w:color w:val="auto"/>
                <w:kern w:val="0"/>
                <w:sz w:val="24"/>
                <w:szCs w:val="24"/>
                <w:highlight w:val="none"/>
                <w:u w:val="none"/>
                <w:lang w:val="en-US" w:eastAsia="zh-CN"/>
              </w:rPr>
              <w:t>》中进行评价（批复文号：</w:t>
            </w:r>
            <w:r>
              <w:rPr>
                <w:rFonts w:hint="default" w:ascii="Times New Roman" w:hAnsi="Times New Roman" w:eastAsia="宋体" w:cs="Times New Roman"/>
                <w:color w:val="auto"/>
                <w:sz w:val="24"/>
                <w:szCs w:val="24"/>
                <w:highlight w:val="none"/>
                <w:lang w:val="en-US" w:eastAsia="zh-CN"/>
              </w:rPr>
              <w:t>昆生环复【2024】27号</w:t>
            </w:r>
            <w:r>
              <w:rPr>
                <w:rFonts w:hint="default" w:ascii="Times New Roman" w:hAnsi="Times New Roman" w:eastAsia="宋体" w:cs="Times New Roman"/>
                <w:color w:val="auto"/>
                <w:kern w:val="0"/>
                <w:sz w:val="24"/>
                <w:szCs w:val="24"/>
                <w:highlight w:val="none"/>
                <w:u w:val="none"/>
                <w:lang w:val="en-US" w:eastAsia="zh-CN"/>
              </w:rPr>
              <w:t>），</w:t>
            </w:r>
            <w:r>
              <w:rPr>
                <w:rFonts w:hint="default" w:ascii="Times New Roman" w:hAnsi="Times New Roman" w:eastAsia="宋体" w:cs="Times New Roman"/>
                <w:color w:val="auto"/>
                <w:sz w:val="24"/>
                <w:szCs w:val="22"/>
                <w:highlight w:val="none"/>
                <w:u w:val="none"/>
                <w:lang w:val="en-US" w:eastAsia="zh-CN"/>
              </w:rPr>
              <w:t>本项目</w:t>
            </w:r>
            <w:r>
              <w:rPr>
                <w:rFonts w:hint="default" w:ascii="Times New Roman" w:hAnsi="Times New Roman" w:eastAsia="宋体" w:cs="Times New Roman"/>
                <w:color w:val="auto"/>
                <w:sz w:val="24"/>
                <w:szCs w:val="22"/>
                <w:highlight w:val="none"/>
                <w:u w:val="none"/>
              </w:rPr>
              <w:t>升压站</w:t>
            </w:r>
            <w:r>
              <w:rPr>
                <w:rFonts w:hint="default" w:ascii="Times New Roman" w:hAnsi="Times New Roman" w:eastAsia="宋体" w:cs="Times New Roman"/>
                <w:color w:val="auto"/>
                <w:sz w:val="24"/>
                <w:szCs w:val="22"/>
                <w:highlight w:val="none"/>
                <w:u w:val="none"/>
                <w:lang w:val="en-US" w:eastAsia="zh-CN"/>
              </w:rPr>
              <w:t>施工期及运营期污染源影响分析及选址等</w:t>
            </w:r>
            <w:r>
              <w:rPr>
                <w:rFonts w:hint="default" w:ascii="Times New Roman" w:hAnsi="Times New Roman" w:eastAsia="宋体" w:cs="Times New Roman"/>
                <w:color w:val="auto"/>
                <w:sz w:val="24"/>
                <w:szCs w:val="22"/>
                <w:highlight w:val="none"/>
                <w:u w:val="none"/>
              </w:rPr>
              <w:t>已在《</w:t>
            </w:r>
            <w:r>
              <w:rPr>
                <w:rFonts w:hint="default" w:ascii="Times New Roman" w:hAnsi="Times New Roman" w:eastAsia="宋体" w:cs="Times New Roman"/>
                <w:color w:val="auto"/>
                <w:sz w:val="24"/>
                <w:szCs w:val="24"/>
                <w:highlight w:val="none"/>
                <w:u w:val="none"/>
                <w:lang w:eastAsia="zh-CN"/>
              </w:rPr>
              <w:t>中清能禄劝县岩子头200MW生态修复光伏电站项目</w:t>
            </w:r>
            <w:r>
              <w:rPr>
                <w:rFonts w:hint="default" w:ascii="Times New Roman" w:hAnsi="Times New Roman" w:eastAsia="宋体" w:cs="Times New Roman"/>
                <w:color w:val="auto"/>
                <w:sz w:val="24"/>
                <w:szCs w:val="22"/>
                <w:highlight w:val="none"/>
                <w:u w:val="none"/>
              </w:rPr>
              <w:t>环境影响报告表》中进行分析</w:t>
            </w:r>
            <w:r>
              <w:rPr>
                <w:rFonts w:hint="default" w:ascii="Times New Roman" w:hAnsi="Times New Roman" w:eastAsia="宋体" w:cs="Times New Roman"/>
                <w:color w:val="auto"/>
                <w:sz w:val="24"/>
                <w:szCs w:val="22"/>
                <w:highlight w:val="none"/>
                <w:u w:val="none"/>
                <w:lang w:val="en-US" w:eastAsia="zh-CN"/>
              </w:rPr>
              <w:t>论证，选址合理可行。</w:t>
            </w:r>
          </w:p>
          <w:p w14:paraId="131E90C0">
            <w:pPr>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snapToGrid w:val="0"/>
                <w:color w:val="auto"/>
                <w:kern w:val="0"/>
                <w:sz w:val="24"/>
                <w:szCs w:val="24"/>
                <w:highlight w:val="none"/>
                <w:lang w:val="en-US" w:eastAsia="zh-CN" w:bidi="ar-SA"/>
              </w:rPr>
              <w:t>同时，</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环评阶段，</w:t>
            </w:r>
            <w:r>
              <w:rPr>
                <w:rFonts w:hint="default" w:ascii="Times New Roman" w:hAnsi="Times New Roman" w:eastAsia="宋体" w:cs="Times New Roman"/>
                <w:snapToGrid w:val="0"/>
                <w:color w:val="auto"/>
                <w:kern w:val="0"/>
                <w:sz w:val="24"/>
                <w:szCs w:val="30"/>
                <w:highlight w:val="none"/>
                <w:lang w:eastAsia="zh-CN"/>
              </w:rPr>
              <w:t>禄劝彝族苗族自治县自然资源局关于《中清能禄劝县岩子头200MW生态修复光伏电站项目的规划核查意见》（</w:t>
            </w:r>
            <w:r>
              <w:rPr>
                <w:rFonts w:hint="default" w:ascii="Times New Roman" w:hAnsi="Times New Roman" w:eastAsia="宋体" w:cs="Times New Roman"/>
                <w:snapToGrid w:val="0"/>
                <w:color w:val="auto"/>
                <w:kern w:val="0"/>
                <w:sz w:val="24"/>
                <w:szCs w:val="30"/>
                <w:highlight w:val="none"/>
                <w:lang w:val="en-US" w:eastAsia="zh-CN"/>
              </w:rPr>
              <w:t>详见附件7</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可知，本项目升压站不涉及生态保护红线及基本农田；根据</w:t>
            </w:r>
            <w:r>
              <w:rPr>
                <w:rFonts w:hint="default" w:ascii="Times New Roman" w:hAnsi="Times New Roman" w:eastAsia="宋体" w:cs="Times New Roman"/>
                <w:snapToGrid w:val="0"/>
                <w:color w:val="auto"/>
                <w:kern w:val="0"/>
                <w:sz w:val="24"/>
                <w:szCs w:val="30"/>
                <w:highlight w:val="none"/>
                <w:lang w:eastAsia="zh-CN"/>
              </w:rPr>
              <w:t>禄劝彝族苗族自治县云龙水库水源保护区管理局关于《关于禄劝皎平渡镇永善村120MW中清能禄劝县岩子头200MW等4个光伏电站建设项目出示相关意见的函》的复函，</w:t>
            </w:r>
            <w:r>
              <w:rPr>
                <w:rFonts w:hint="default" w:ascii="Times New Roman" w:hAnsi="Times New Roman" w:eastAsia="宋体" w:cs="Times New Roman"/>
                <w:snapToGrid w:val="0"/>
                <w:color w:val="auto"/>
                <w:kern w:val="0"/>
                <w:sz w:val="24"/>
                <w:szCs w:val="30"/>
                <w:highlight w:val="none"/>
                <w:lang w:val="en-US" w:eastAsia="zh-CN"/>
              </w:rPr>
              <w:t>本项目选址不涉及饮用水水源保护区，此外</w:t>
            </w:r>
            <w:r>
              <w:rPr>
                <w:rFonts w:hint="default" w:ascii="Times New Roman" w:hAnsi="Times New Roman" w:eastAsia="宋体" w:cs="Times New Roman"/>
                <w:color w:val="auto"/>
                <w:kern w:val="0"/>
                <w:sz w:val="24"/>
                <w:highlight w:val="none"/>
                <w:lang w:val="en-US" w:eastAsia="zh-CN"/>
              </w:rPr>
              <w:t>根据调查</w:t>
            </w:r>
            <w:r>
              <w:rPr>
                <w:rFonts w:hint="default" w:ascii="Times New Roman" w:hAnsi="Times New Roman" w:eastAsia="宋体" w:cs="Times New Roman"/>
                <w:color w:val="auto"/>
                <w:kern w:val="0"/>
                <w:sz w:val="24"/>
                <w:highlight w:val="none"/>
              </w:rPr>
              <w:t>，项目不涉及自然保护区、风景名胜区、世界文化和自然遗产地、森林公园、地质公园、重要湿地等生态环境敏感区</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根据现场调查，本项目周边500m范围内主要为草地、耕地、林地、村庄及道路等，无</w:t>
            </w:r>
            <w:r>
              <w:rPr>
                <w:rFonts w:hint="default" w:ascii="Times New Roman" w:hAnsi="Times New Roman" w:eastAsia="宋体" w:cs="Times New Roman"/>
                <w:b w:val="0"/>
                <w:bCs w:val="0"/>
                <w:color w:val="auto"/>
                <w:sz w:val="24"/>
                <w:highlight w:val="none"/>
              </w:rPr>
              <w:t>国家级或云南省省级重点保护植物</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无</w:t>
            </w:r>
            <w:r>
              <w:rPr>
                <w:rFonts w:hint="default" w:ascii="Times New Roman" w:hAnsi="Times New Roman" w:eastAsia="宋体" w:cs="Times New Roman"/>
                <w:b w:val="0"/>
                <w:bCs w:val="0"/>
                <w:color w:val="auto"/>
                <w:sz w:val="24"/>
                <w:highlight w:val="none"/>
              </w:rPr>
              <w:t>古树名木分布</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也无</w:t>
            </w:r>
            <w:r>
              <w:rPr>
                <w:rFonts w:hint="default" w:ascii="Times New Roman" w:hAnsi="Times New Roman" w:eastAsia="宋体" w:cs="Times New Roman"/>
                <w:b w:val="0"/>
                <w:bCs w:val="0"/>
                <w:color w:val="auto"/>
                <w:sz w:val="24"/>
                <w:highlight w:val="none"/>
              </w:rPr>
              <w:t>极危、濒危、易危植物分布</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color w:val="auto"/>
                <w:spacing w:val="-4"/>
                <w:sz w:val="24"/>
                <w:highlight w:val="none"/>
              </w:rPr>
              <w:t>本项目所在区域</w:t>
            </w:r>
            <w:r>
              <w:rPr>
                <w:rFonts w:hint="default" w:ascii="Times New Roman" w:hAnsi="Times New Roman" w:eastAsia="宋体" w:cs="Times New Roman"/>
                <w:color w:val="auto"/>
                <w:spacing w:val="-4"/>
                <w:sz w:val="24"/>
                <w:highlight w:val="none"/>
                <w:lang w:val="en-US" w:eastAsia="zh-CN"/>
              </w:rPr>
              <w:t>由于</w:t>
            </w:r>
            <w:r>
              <w:rPr>
                <w:rFonts w:hint="default" w:ascii="Times New Roman" w:hAnsi="Times New Roman" w:eastAsia="宋体" w:cs="Times New Roman"/>
                <w:color w:val="auto"/>
                <w:spacing w:val="-4"/>
                <w:sz w:val="24"/>
                <w:highlight w:val="none"/>
              </w:rPr>
              <w:t>人类活动频繁</w:t>
            </w:r>
            <w:r>
              <w:rPr>
                <w:rFonts w:hint="default" w:ascii="Times New Roman" w:hAnsi="Times New Roman" w:eastAsia="宋体" w:cs="Times New Roman"/>
                <w:color w:val="auto"/>
                <w:spacing w:val="-4"/>
                <w:sz w:val="24"/>
                <w:highlight w:val="none"/>
                <w:lang w:eastAsia="zh-CN"/>
              </w:rPr>
              <w:t>，</w:t>
            </w:r>
            <w:r>
              <w:rPr>
                <w:rFonts w:hint="default" w:ascii="Times New Roman" w:hAnsi="Times New Roman" w:eastAsia="宋体" w:cs="Times New Roman"/>
                <w:color w:val="auto"/>
                <w:sz w:val="24"/>
                <w:highlight w:val="none"/>
              </w:rPr>
              <w:t>适宜野生动物的生境较少，</w:t>
            </w:r>
            <w:r>
              <w:rPr>
                <w:rFonts w:hint="default" w:ascii="Times New Roman" w:hAnsi="Times New Roman" w:eastAsia="宋体" w:cs="Times New Roman"/>
                <w:color w:val="auto"/>
                <w:sz w:val="24"/>
                <w:highlight w:val="none"/>
                <w:lang w:val="en-US" w:eastAsia="zh-CN"/>
              </w:rPr>
              <w:t>除少数鸟类外，基本无其他大型动物活动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pacing w:val="-4"/>
                <w:sz w:val="24"/>
                <w:szCs w:val="24"/>
                <w:highlight w:val="none"/>
              </w:rPr>
              <w:t>无国家级和云南省级重点保护野生动物分</w:t>
            </w:r>
            <w:r>
              <w:rPr>
                <w:rFonts w:hint="default" w:ascii="Times New Roman" w:hAnsi="Times New Roman" w:eastAsia="宋体" w:cs="Times New Roman"/>
                <w:color w:val="auto"/>
                <w:sz w:val="24"/>
                <w:szCs w:val="24"/>
                <w:highlight w:val="none"/>
              </w:rPr>
              <w:t>布；也无珍稀濒危动物分布</w:t>
            </w:r>
            <w:r>
              <w:rPr>
                <w:rFonts w:hint="default" w:ascii="Times New Roman" w:hAnsi="Times New Roman" w:eastAsia="宋体" w:cs="Times New Roman"/>
                <w:color w:val="auto"/>
                <w:sz w:val="24"/>
                <w:highlight w:val="none"/>
              </w:rPr>
              <w:t>。</w:t>
            </w:r>
          </w:p>
          <w:p w14:paraId="3240E34D">
            <w:pPr>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lang w:val="en-US" w:eastAsia="zh-CN"/>
              </w:rPr>
              <w:t>根据现场调查，项目建设区域地势较平坦，</w:t>
            </w:r>
            <w:r>
              <w:rPr>
                <w:rFonts w:hint="default" w:ascii="Times New Roman" w:hAnsi="Times New Roman" w:eastAsia="宋体" w:cs="Times New Roman"/>
                <w:color w:val="auto"/>
                <w:sz w:val="24"/>
                <w:highlight w:val="none"/>
              </w:rPr>
              <w:t>本项目所选站址</w:t>
            </w:r>
            <w:r>
              <w:rPr>
                <w:rFonts w:hint="default" w:ascii="Times New Roman" w:hAnsi="Times New Roman" w:eastAsia="宋体" w:cs="Times New Roman"/>
                <w:color w:val="auto"/>
                <w:sz w:val="24"/>
                <w:highlight w:val="none"/>
                <w:lang w:val="en-US" w:eastAsia="zh-CN"/>
              </w:rPr>
              <w:t>及线路周边</w:t>
            </w:r>
            <w:r>
              <w:rPr>
                <w:rFonts w:hint="default" w:ascii="Times New Roman" w:hAnsi="Times New Roman" w:eastAsia="宋体" w:cs="Times New Roman"/>
                <w:color w:val="auto"/>
                <w:sz w:val="24"/>
                <w:szCs w:val="24"/>
                <w:highlight w:val="none"/>
                <w:lang w:val="en-US" w:eastAsia="zh-CN"/>
              </w:rPr>
              <w:t>项目周边西侧及西南侧为已建团中线道路，</w:t>
            </w:r>
            <w:r>
              <w:rPr>
                <w:rFonts w:hint="default" w:ascii="Times New Roman" w:hAnsi="Times New Roman" w:eastAsia="宋体" w:cs="Times New Roman"/>
                <w:color w:val="auto"/>
                <w:sz w:val="24"/>
                <w:highlight w:val="none"/>
                <w:lang w:val="en-US" w:eastAsia="zh-CN"/>
              </w:rPr>
              <w:t>交通便利、</w:t>
            </w:r>
            <w:r>
              <w:rPr>
                <w:rFonts w:hint="default" w:ascii="Times New Roman" w:hAnsi="Times New Roman" w:eastAsia="宋体" w:cs="Times New Roman"/>
                <w:color w:val="auto"/>
                <w:sz w:val="24"/>
                <w:highlight w:val="none"/>
              </w:rPr>
              <w:t>水文因素等条件均较好</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有利于项目的建设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现升压站施工期已结束，施工期影响已随着施工期的结束而消失，无环境遗留问题，亦未发生过相关环保投诉事件，根据</w:t>
            </w:r>
            <w:r>
              <w:rPr>
                <w:rFonts w:hint="default" w:ascii="Times New Roman" w:hAnsi="Times New Roman" w:eastAsia="宋体" w:cs="Times New Roman"/>
                <w:color w:val="auto"/>
                <w:sz w:val="24"/>
                <w:szCs w:val="24"/>
                <w:highlight w:val="none"/>
                <w:u w:val="none"/>
                <w:lang w:eastAsia="zh-CN"/>
              </w:rPr>
              <w:t>中清能禄劝县岩子头200MW生态修复光伏电站项目</w:t>
            </w:r>
            <w:r>
              <w:rPr>
                <w:rFonts w:hint="default" w:ascii="Times New Roman" w:hAnsi="Times New Roman" w:eastAsia="宋体" w:cs="Times New Roman"/>
                <w:color w:val="auto"/>
                <w:sz w:val="24"/>
                <w:szCs w:val="22"/>
                <w:highlight w:val="none"/>
                <w:u w:val="none"/>
                <w:lang w:val="en-US" w:eastAsia="zh-CN"/>
              </w:rPr>
              <w:t>竣工环境保护验收阶段及本次环评期间噪声监测结果可知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升压站运营期各项污染物均可达标排放，对环境影响较小。此外，根据分析可知，</w:t>
            </w:r>
            <w:r>
              <w:rPr>
                <w:rFonts w:hint="default" w:ascii="Times New Roman" w:hAnsi="Times New Roman" w:eastAsia="宋体" w:cs="Times New Roman"/>
                <w:color w:val="auto"/>
                <w:sz w:val="24"/>
                <w:highlight w:val="none"/>
              </w:rPr>
              <w:t>升压站选址符合《输变电建设项目环境保护技术要求》（HJ1113-2020）中相关要求，</w:t>
            </w:r>
            <w:r>
              <w:rPr>
                <w:rFonts w:hint="default" w:ascii="Times New Roman" w:hAnsi="Times New Roman" w:eastAsia="宋体" w:cs="Times New Roman"/>
                <w:color w:val="auto"/>
                <w:sz w:val="24"/>
                <w:highlight w:val="none"/>
                <w:lang w:val="en-US" w:eastAsia="zh-CN"/>
              </w:rPr>
              <w:t>整体而言，</w:t>
            </w:r>
            <w:r>
              <w:rPr>
                <w:rFonts w:hint="default" w:ascii="Times New Roman" w:hAnsi="Times New Roman" w:eastAsia="宋体" w:cs="Times New Roman"/>
                <w:color w:val="auto"/>
                <w:sz w:val="24"/>
                <w:highlight w:val="none"/>
              </w:rPr>
              <w:t>项目站址</w:t>
            </w:r>
            <w:r>
              <w:rPr>
                <w:rFonts w:hint="default" w:ascii="Times New Roman" w:hAnsi="Times New Roman" w:eastAsia="宋体" w:cs="Times New Roman"/>
                <w:color w:val="auto"/>
                <w:sz w:val="24"/>
                <w:highlight w:val="none"/>
                <w:lang w:val="en-US" w:eastAsia="zh-CN"/>
              </w:rPr>
              <w:t>建设</w:t>
            </w:r>
            <w:r>
              <w:rPr>
                <w:rFonts w:hint="default" w:ascii="Times New Roman" w:hAnsi="Times New Roman" w:eastAsia="宋体" w:cs="Times New Roman"/>
                <w:color w:val="auto"/>
                <w:sz w:val="24"/>
                <w:highlight w:val="none"/>
              </w:rPr>
              <w:t>区域不存在制约项目建设的环境因素，</w:t>
            </w:r>
            <w:r>
              <w:rPr>
                <w:rFonts w:hint="default" w:ascii="Times New Roman" w:hAnsi="Times New Roman" w:eastAsia="宋体" w:cs="Times New Roman"/>
                <w:color w:val="auto"/>
                <w:sz w:val="24"/>
                <w:highlight w:val="none"/>
                <w:lang w:val="en-US" w:eastAsia="zh-CN"/>
              </w:rPr>
              <w:t>站址</w:t>
            </w:r>
            <w:r>
              <w:rPr>
                <w:rFonts w:hint="default" w:ascii="Times New Roman" w:hAnsi="Times New Roman" w:eastAsia="宋体" w:cs="Times New Roman"/>
                <w:color w:val="auto"/>
                <w:sz w:val="24"/>
                <w:highlight w:val="none"/>
              </w:rPr>
              <w:t>选址合理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可行</w:t>
            </w:r>
            <w:r>
              <w:rPr>
                <w:rFonts w:hint="default" w:ascii="Times New Roman" w:hAnsi="Times New Roman" w:eastAsia="宋体" w:cs="Times New Roman"/>
                <w:color w:val="auto"/>
                <w:sz w:val="24"/>
                <w:highlight w:val="none"/>
              </w:rPr>
              <w:t>。</w:t>
            </w:r>
          </w:p>
          <w:p w14:paraId="2ECE37BC">
            <w:pPr>
              <w:spacing w:line="360" w:lineRule="auto"/>
              <w:rPr>
                <w:rFonts w:hint="default" w:ascii="Times New Roman" w:hAnsi="Times New Roman" w:eastAsia="宋体" w:cs="Times New Roman"/>
                <w:color w:val="auto"/>
                <w:sz w:val="24"/>
                <w:szCs w:val="24"/>
                <w:highlight w:val="none"/>
                <w:lang w:eastAsia="zh-CN"/>
              </w:rPr>
            </w:pPr>
          </w:p>
          <w:p w14:paraId="6B2DA27B">
            <w:pPr>
              <w:pStyle w:val="23"/>
              <w:outlineLvl w:val="9"/>
              <w:rPr>
                <w:rFonts w:hint="default" w:ascii="Times New Roman" w:hAnsi="Times New Roman" w:eastAsia="宋体" w:cs="Times New Roman"/>
                <w:color w:val="auto"/>
                <w:sz w:val="24"/>
                <w:szCs w:val="24"/>
                <w:highlight w:val="none"/>
                <w:lang w:eastAsia="zh-CN"/>
              </w:rPr>
            </w:pPr>
          </w:p>
          <w:p w14:paraId="382B34F4">
            <w:pPr>
              <w:pStyle w:val="24"/>
              <w:rPr>
                <w:rFonts w:hint="default" w:ascii="Times New Roman" w:hAnsi="Times New Roman" w:eastAsia="宋体" w:cs="Times New Roman"/>
                <w:color w:val="auto"/>
                <w:sz w:val="24"/>
                <w:szCs w:val="24"/>
                <w:highlight w:val="none"/>
                <w:lang w:eastAsia="zh-CN"/>
              </w:rPr>
            </w:pPr>
          </w:p>
          <w:p w14:paraId="590176F5">
            <w:pPr>
              <w:rPr>
                <w:rFonts w:hint="default" w:ascii="Times New Roman" w:hAnsi="Times New Roman" w:eastAsia="宋体" w:cs="Times New Roman"/>
                <w:color w:val="auto"/>
                <w:sz w:val="24"/>
                <w:szCs w:val="24"/>
                <w:highlight w:val="none"/>
                <w:lang w:eastAsia="zh-CN"/>
              </w:rPr>
            </w:pPr>
          </w:p>
          <w:p w14:paraId="2B229C56">
            <w:pPr>
              <w:rPr>
                <w:rFonts w:hint="default" w:ascii="Times New Roman" w:hAnsi="Times New Roman" w:eastAsia="宋体" w:cs="Times New Roman"/>
                <w:color w:val="auto"/>
                <w:sz w:val="24"/>
                <w:szCs w:val="24"/>
                <w:highlight w:val="none"/>
                <w:lang w:eastAsia="zh-CN"/>
              </w:rPr>
            </w:pPr>
          </w:p>
          <w:p w14:paraId="3B4638DC">
            <w:pPr>
              <w:rPr>
                <w:rFonts w:hint="default" w:ascii="Times New Roman" w:hAnsi="Times New Roman" w:eastAsia="宋体" w:cs="Times New Roman"/>
                <w:color w:val="auto"/>
                <w:sz w:val="24"/>
                <w:szCs w:val="24"/>
                <w:highlight w:val="none"/>
                <w:lang w:eastAsia="zh-CN"/>
              </w:rPr>
            </w:pPr>
          </w:p>
          <w:p w14:paraId="06700684">
            <w:pPr>
              <w:rPr>
                <w:rFonts w:hint="default" w:ascii="Times New Roman" w:hAnsi="Times New Roman" w:eastAsia="宋体" w:cs="Times New Roman"/>
                <w:color w:val="auto"/>
                <w:sz w:val="24"/>
                <w:szCs w:val="24"/>
                <w:highlight w:val="none"/>
                <w:lang w:eastAsia="zh-CN"/>
              </w:rPr>
            </w:pPr>
          </w:p>
          <w:p w14:paraId="10B5B030">
            <w:pPr>
              <w:rPr>
                <w:rFonts w:hint="default" w:ascii="Times New Roman" w:hAnsi="Times New Roman" w:eastAsia="宋体" w:cs="Times New Roman"/>
                <w:color w:val="auto"/>
                <w:sz w:val="24"/>
                <w:szCs w:val="24"/>
                <w:highlight w:val="none"/>
                <w:lang w:eastAsia="zh-CN"/>
              </w:rPr>
            </w:pPr>
          </w:p>
          <w:p w14:paraId="4ADEF475">
            <w:pPr>
              <w:rPr>
                <w:rFonts w:hint="default" w:ascii="Times New Roman" w:hAnsi="Times New Roman" w:eastAsia="宋体" w:cs="Times New Roman"/>
                <w:color w:val="auto"/>
                <w:sz w:val="24"/>
                <w:szCs w:val="24"/>
                <w:highlight w:val="none"/>
                <w:lang w:eastAsia="zh-CN"/>
              </w:rPr>
            </w:pPr>
          </w:p>
          <w:p w14:paraId="33EE6D3D">
            <w:pPr>
              <w:rPr>
                <w:rFonts w:hint="default" w:ascii="Times New Roman" w:hAnsi="Times New Roman" w:eastAsia="宋体" w:cs="Times New Roman"/>
                <w:color w:val="auto"/>
                <w:sz w:val="24"/>
                <w:szCs w:val="24"/>
                <w:highlight w:val="none"/>
                <w:lang w:eastAsia="zh-CN"/>
              </w:rPr>
            </w:pPr>
          </w:p>
          <w:p w14:paraId="6AFE4822">
            <w:pPr>
              <w:rPr>
                <w:rFonts w:hint="default" w:ascii="Times New Roman" w:hAnsi="Times New Roman" w:eastAsia="宋体" w:cs="Times New Roman"/>
                <w:color w:val="auto"/>
                <w:sz w:val="24"/>
                <w:szCs w:val="24"/>
                <w:highlight w:val="none"/>
                <w:lang w:eastAsia="zh-CN"/>
              </w:rPr>
            </w:pPr>
          </w:p>
          <w:p w14:paraId="367384F5">
            <w:pPr>
              <w:rPr>
                <w:rFonts w:hint="default" w:ascii="Times New Roman" w:hAnsi="Times New Roman" w:eastAsia="宋体" w:cs="Times New Roman"/>
                <w:color w:val="auto"/>
                <w:sz w:val="24"/>
                <w:szCs w:val="24"/>
                <w:highlight w:val="none"/>
                <w:lang w:eastAsia="zh-CN"/>
              </w:rPr>
            </w:pPr>
          </w:p>
          <w:p w14:paraId="0A856009">
            <w:pPr>
              <w:rPr>
                <w:rFonts w:hint="default" w:ascii="Times New Roman" w:hAnsi="Times New Roman" w:eastAsia="宋体" w:cs="Times New Roman"/>
                <w:color w:val="auto"/>
                <w:sz w:val="24"/>
                <w:szCs w:val="24"/>
                <w:highlight w:val="none"/>
                <w:lang w:eastAsia="zh-CN"/>
              </w:rPr>
            </w:pPr>
          </w:p>
          <w:p w14:paraId="763605C7">
            <w:pPr>
              <w:rPr>
                <w:rFonts w:hint="default" w:ascii="Times New Roman" w:hAnsi="Times New Roman" w:eastAsia="宋体" w:cs="Times New Roman"/>
                <w:color w:val="auto"/>
                <w:sz w:val="24"/>
                <w:szCs w:val="24"/>
                <w:highlight w:val="none"/>
                <w:lang w:eastAsia="zh-CN"/>
              </w:rPr>
            </w:pPr>
          </w:p>
          <w:p w14:paraId="70A1432F">
            <w:pPr>
              <w:rPr>
                <w:rFonts w:hint="default" w:ascii="Times New Roman" w:hAnsi="Times New Roman" w:eastAsia="宋体" w:cs="Times New Roman"/>
                <w:color w:val="auto"/>
                <w:sz w:val="24"/>
                <w:szCs w:val="24"/>
                <w:highlight w:val="none"/>
                <w:lang w:eastAsia="zh-CN"/>
              </w:rPr>
            </w:pPr>
          </w:p>
          <w:p w14:paraId="34AD5CB6">
            <w:pPr>
              <w:rPr>
                <w:rFonts w:hint="default" w:ascii="Times New Roman" w:hAnsi="Times New Roman" w:eastAsia="宋体" w:cs="Times New Roman"/>
                <w:color w:val="auto"/>
                <w:sz w:val="24"/>
                <w:szCs w:val="24"/>
                <w:highlight w:val="none"/>
                <w:lang w:eastAsia="zh-CN"/>
              </w:rPr>
            </w:pPr>
          </w:p>
          <w:p w14:paraId="3A54D8EE">
            <w:pPr>
              <w:rPr>
                <w:rFonts w:hint="default" w:ascii="Times New Roman" w:hAnsi="Times New Roman" w:eastAsia="宋体" w:cs="Times New Roman"/>
                <w:color w:val="auto"/>
                <w:sz w:val="24"/>
                <w:szCs w:val="24"/>
                <w:highlight w:val="none"/>
                <w:lang w:eastAsia="zh-CN"/>
              </w:rPr>
            </w:pPr>
          </w:p>
          <w:p w14:paraId="7710EBEA">
            <w:pPr>
              <w:rPr>
                <w:rFonts w:hint="default" w:ascii="Times New Roman" w:hAnsi="Times New Roman" w:eastAsia="宋体" w:cs="Times New Roman"/>
                <w:color w:val="auto"/>
                <w:sz w:val="24"/>
                <w:szCs w:val="24"/>
                <w:highlight w:val="none"/>
                <w:lang w:eastAsia="zh-CN"/>
              </w:rPr>
            </w:pPr>
          </w:p>
          <w:p w14:paraId="3F7D24CF">
            <w:pPr>
              <w:rPr>
                <w:rFonts w:hint="default" w:ascii="Times New Roman" w:hAnsi="Times New Roman" w:eastAsia="宋体" w:cs="Times New Roman"/>
                <w:color w:val="auto"/>
                <w:sz w:val="24"/>
                <w:szCs w:val="24"/>
                <w:highlight w:val="none"/>
                <w:lang w:eastAsia="zh-CN"/>
              </w:rPr>
            </w:pPr>
          </w:p>
          <w:p w14:paraId="3C9F9009">
            <w:pPr>
              <w:pStyle w:val="23"/>
              <w:outlineLvl w:val="9"/>
              <w:rPr>
                <w:rFonts w:hint="default" w:ascii="Times New Roman" w:hAnsi="Times New Roman" w:eastAsia="宋体" w:cs="Times New Roman"/>
                <w:color w:val="auto"/>
                <w:highlight w:val="none"/>
                <w:lang w:eastAsia="zh-CN"/>
              </w:rPr>
            </w:pPr>
          </w:p>
        </w:tc>
      </w:tr>
    </w:tbl>
    <w:p w14:paraId="58BC739F">
      <w:pPr>
        <w:pStyle w:val="43"/>
        <w:adjustRightInd w:val="0"/>
        <w:jc w:val="both"/>
        <w:rPr>
          <w:rFonts w:hint="default" w:ascii="Times New Roman" w:hAnsi="Times New Roman" w:eastAsia="宋体" w:cs="Times New Roman"/>
          <w:snapToGrid w:val="0"/>
          <w:color w:val="auto"/>
          <w:sz w:val="18"/>
          <w:szCs w:val="18"/>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0" w:num="1"/>
          <w:rtlGutter w:val="0"/>
          <w:docGrid w:type="linesAndChars" w:linePitch="335" w:charSpace="0"/>
        </w:sectPr>
      </w:pPr>
    </w:p>
    <w:p w14:paraId="48ED35BC">
      <w:pPr>
        <w:pStyle w:val="4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206" w:name="_Toc545"/>
      <w:bookmarkStart w:id="207" w:name="_Toc29852"/>
      <w:bookmarkStart w:id="208" w:name="_Toc28323"/>
      <w:bookmarkStart w:id="209" w:name="_Toc13730"/>
      <w:bookmarkStart w:id="210" w:name="_Toc14495"/>
      <w:bookmarkStart w:id="211" w:name="_Toc88128711"/>
      <w:bookmarkStart w:id="212" w:name="_Toc28747"/>
      <w:bookmarkStart w:id="213" w:name="_Toc9378"/>
      <w:bookmarkStart w:id="214" w:name="_Toc18329"/>
      <w:bookmarkStart w:id="215" w:name="_Toc13167"/>
      <w:bookmarkStart w:id="216" w:name="_Toc31765"/>
      <w:bookmarkStart w:id="217" w:name="_Toc25507"/>
      <w:r>
        <w:rPr>
          <w:rFonts w:hint="default" w:ascii="Times New Roman" w:hAnsi="Times New Roman" w:eastAsia="宋体" w:cs="Times New Roman"/>
          <w:b/>
          <w:bCs/>
          <w:snapToGrid w:val="0"/>
          <w:color w:val="auto"/>
          <w:sz w:val="30"/>
          <w:szCs w:val="30"/>
          <w:highlight w:val="none"/>
        </w:rPr>
        <w:t>五、主要生态环境保护措施</w:t>
      </w:r>
      <w:bookmarkEnd w:id="206"/>
      <w:bookmarkEnd w:id="207"/>
      <w:bookmarkEnd w:id="208"/>
      <w:bookmarkEnd w:id="209"/>
      <w:bookmarkEnd w:id="210"/>
      <w:bookmarkEnd w:id="211"/>
      <w:bookmarkEnd w:id="212"/>
      <w:bookmarkEnd w:id="213"/>
      <w:bookmarkEnd w:id="214"/>
      <w:bookmarkEnd w:id="215"/>
      <w:bookmarkEnd w:id="216"/>
      <w:bookmarkEnd w:id="217"/>
    </w:p>
    <w:tbl>
      <w:tblPr>
        <w:tblStyle w:val="49"/>
        <w:tblW w:w="52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53"/>
      </w:tblGrid>
      <w:tr w14:paraId="72703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Mar>
              <w:left w:w="28" w:type="dxa"/>
              <w:right w:w="28" w:type="dxa"/>
            </w:tcMar>
            <w:vAlign w:val="center"/>
          </w:tcPr>
          <w:p w14:paraId="1B6F8663">
            <w:pPr>
              <w:adjustRightIn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val="0"/>
                <w:color w:val="auto"/>
                <w:spacing w:val="10"/>
                <w:sz w:val="24"/>
                <w:highlight w:val="none"/>
              </w:rPr>
              <w:t>施工期生态环境保护措施</w:t>
            </w:r>
          </w:p>
        </w:tc>
        <w:tc>
          <w:tcPr>
            <w:tcW w:w="4614" w:type="pct"/>
          </w:tcPr>
          <w:p w14:paraId="233CB71D">
            <w:pPr>
              <w:adjustRightInd w:val="0"/>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升压站建设施工期的废水、废气、噪声</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固体废物</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生态环境影响及环境风险</w:t>
            </w:r>
            <w:r>
              <w:rPr>
                <w:rFonts w:hint="default" w:ascii="Times New Roman" w:hAnsi="Times New Roman" w:eastAsia="宋体" w:cs="Times New Roman"/>
                <w:color w:val="auto"/>
                <w:sz w:val="24"/>
                <w:szCs w:val="22"/>
                <w:highlight w:val="none"/>
              </w:rPr>
              <w:t>的</w:t>
            </w:r>
            <w:r>
              <w:rPr>
                <w:rFonts w:hint="default" w:ascii="Times New Roman" w:hAnsi="Times New Roman" w:eastAsia="宋体" w:cs="Times New Roman"/>
                <w:color w:val="auto"/>
                <w:sz w:val="24"/>
                <w:szCs w:val="22"/>
                <w:highlight w:val="none"/>
                <w:lang w:val="en-US" w:eastAsia="zh-CN"/>
              </w:rPr>
              <w:t>相关影响分析及</w:t>
            </w:r>
            <w:r>
              <w:rPr>
                <w:rFonts w:hint="default" w:ascii="Times New Roman" w:hAnsi="Times New Roman" w:eastAsia="宋体" w:cs="Times New Roman"/>
                <w:color w:val="auto"/>
                <w:sz w:val="24"/>
                <w:szCs w:val="22"/>
                <w:highlight w:val="none"/>
              </w:rPr>
              <w:t>治理措施已在《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环境影响报告表》中进行阐述分析，</w:t>
            </w:r>
            <w:r>
              <w:rPr>
                <w:rFonts w:hint="default" w:ascii="Times New Roman" w:hAnsi="Times New Roman" w:eastAsia="宋体" w:cs="Times New Roman"/>
                <w:color w:val="auto"/>
                <w:sz w:val="24"/>
                <w:szCs w:val="22"/>
                <w:highlight w:val="none"/>
                <w:lang w:val="en-US" w:eastAsia="zh-CN"/>
              </w:rPr>
              <w:t>且根据现场调查，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已于2023年11月开工建设，建设完工后于2024年6月投入试运行，项目施工期已结束，施工期环境影响已随着施工期的结束而消失，不存在环境遗留问题，项目施工期间未发生相关环保投诉事件</w:t>
            </w:r>
            <w:r>
              <w:rPr>
                <w:rFonts w:hint="default" w:ascii="Times New Roman" w:hAnsi="Times New Roman" w:eastAsia="宋体" w:cs="Times New Roman"/>
                <w:b w:val="0"/>
                <w:bCs w:val="0"/>
                <w:color w:val="auto"/>
                <w:sz w:val="24"/>
                <w:szCs w:val="24"/>
                <w:highlight w:val="none"/>
              </w:rPr>
              <w:t>。</w:t>
            </w:r>
          </w:p>
        </w:tc>
      </w:tr>
      <w:tr w14:paraId="19EB8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tcMar>
              <w:left w:w="28" w:type="dxa"/>
              <w:right w:w="28" w:type="dxa"/>
            </w:tcMar>
            <w:vAlign w:val="center"/>
          </w:tcPr>
          <w:p w14:paraId="17702B4F">
            <w:pPr>
              <w:adjustRightInd w:val="0"/>
              <w:spacing w:line="360" w:lineRule="auto"/>
              <w:jc w:val="center"/>
              <w:rPr>
                <w:rFonts w:hint="default" w:ascii="Times New Roman" w:hAnsi="Times New Roman" w:eastAsia="宋体" w:cs="Times New Roman"/>
                <w:b/>
                <w:bCs w:val="0"/>
                <w:color w:val="auto"/>
                <w:spacing w:val="10"/>
                <w:sz w:val="24"/>
                <w:highlight w:val="none"/>
              </w:rPr>
            </w:pPr>
          </w:p>
          <w:p w14:paraId="43E83341">
            <w:pPr>
              <w:adjustRightInd w:val="0"/>
              <w:spacing w:line="360" w:lineRule="auto"/>
              <w:jc w:val="center"/>
              <w:rPr>
                <w:rFonts w:hint="default" w:ascii="Times New Roman" w:hAnsi="Times New Roman" w:eastAsia="宋体" w:cs="Times New Roman"/>
                <w:b/>
                <w:bCs w:val="0"/>
                <w:color w:val="auto"/>
                <w:spacing w:val="10"/>
                <w:sz w:val="24"/>
                <w:highlight w:val="none"/>
              </w:rPr>
            </w:pPr>
          </w:p>
          <w:p w14:paraId="7B466584">
            <w:pPr>
              <w:adjustRightInd w:val="0"/>
              <w:spacing w:line="360" w:lineRule="auto"/>
              <w:jc w:val="center"/>
              <w:rPr>
                <w:rFonts w:hint="default" w:ascii="Times New Roman" w:hAnsi="Times New Roman" w:eastAsia="宋体" w:cs="Times New Roman"/>
                <w:b/>
                <w:bCs w:val="0"/>
                <w:color w:val="auto"/>
                <w:spacing w:val="10"/>
                <w:sz w:val="24"/>
                <w:highlight w:val="none"/>
              </w:rPr>
            </w:pPr>
          </w:p>
          <w:p w14:paraId="4C5E3C2D">
            <w:pPr>
              <w:adjustRightInd w:val="0"/>
              <w:spacing w:line="360" w:lineRule="auto"/>
              <w:jc w:val="center"/>
              <w:rPr>
                <w:rFonts w:hint="default" w:ascii="Times New Roman" w:hAnsi="Times New Roman" w:eastAsia="宋体" w:cs="Times New Roman"/>
                <w:b/>
                <w:bCs w:val="0"/>
                <w:color w:val="auto"/>
                <w:spacing w:val="10"/>
                <w:sz w:val="24"/>
                <w:highlight w:val="none"/>
              </w:rPr>
            </w:pPr>
          </w:p>
          <w:p w14:paraId="141F8AC2">
            <w:pPr>
              <w:adjustRightInd w:val="0"/>
              <w:spacing w:line="360" w:lineRule="auto"/>
              <w:jc w:val="center"/>
              <w:rPr>
                <w:rFonts w:hint="default" w:ascii="Times New Roman" w:hAnsi="Times New Roman" w:eastAsia="宋体" w:cs="Times New Roman"/>
                <w:b/>
                <w:bCs w:val="0"/>
                <w:color w:val="auto"/>
                <w:spacing w:val="10"/>
                <w:sz w:val="24"/>
                <w:highlight w:val="none"/>
              </w:rPr>
            </w:pPr>
          </w:p>
          <w:p w14:paraId="1F43AB44">
            <w:pPr>
              <w:adjustRightInd w:val="0"/>
              <w:spacing w:line="360" w:lineRule="auto"/>
              <w:jc w:val="center"/>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
                <w:bCs w:val="0"/>
                <w:color w:val="auto"/>
                <w:spacing w:val="10"/>
                <w:sz w:val="24"/>
                <w:highlight w:val="none"/>
              </w:rPr>
              <w:t>运营期生态环境保护措施</w:t>
            </w:r>
          </w:p>
        </w:tc>
        <w:tc>
          <w:tcPr>
            <w:tcW w:w="4614" w:type="pct"/>
          </w:tcPr>
          <w:p w14:paraId="2D2F9063">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1、噪声防治措施</w:t>
            </w:r>
          </w:p>
          <w:p w14:paraId="7A81FB3C">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olor w:val="auto"/>
                <w:sz w:val="24"/>
                <w:szCs w:val="22"/>
                <w:highlight w:val="none"/>
                <w:lang w:val="en-US" w:eastAsia="zh-CN"/>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及现场调查，升压站已采取噪声防治措施包括：</w:t>
            </w:r>
            <w:r>
              <w:rPr>
                <w:rFonts w:hint="default" w:ascii="Times New Roman" w:hAnsi="Times New Roman" w:eastAsia="宋体" w:cs="Times New Roman"/>
                <w:bCs/>
                <w:color w:val="auto"/>
                <w:kern w:val="0"/>
                <w:sz w:val="24"/>
                <w:highlight w:val="none"/>
                <w:lang w:bidi="ar"/>
              </w:rPr>
              <w:t>选用低噪设备、合理</w:t>
            </w:r>
            <w:r>
              <w:rPr>
                <w:rFonts w:hint="default" w:ascii="Times New Roman" w:hAnsi="Times New Roman" w:eastAsia="宋体" w:cs="Times New Roman"/>
                <w:bCs/>
                <w:color w:val="auto"/>
                <w:kern w:val="0"/>
                <w:sz w:val="24"/>
                <w:highlight w:val="none"/>
                <w:lang w:val="en-US" w:eastAsia="zh-CN" w:bidi="ar"/>
              </w:rPr>
              <w:t>布局</w:t>
            </w:r>
            <w:r>
              <w:rPr>
                <w:rFonts w:hint="default" w:ascii="Times New Roman" w:hAnsi="Times New Roman" w:eastAsia="宋体" w:cs="Times New Roman"/>
                <w:bCs/>
                <w:color w:val="auto"/>
                <w:kern w:val="0"/>
                <w:sz w:val="24"/>
                <w:highlight w:val="none"/>
                <w:lang w:bidi="ar"/>
              </w:rPr>
              <w:t>、</w:t>
            </w:r>
            <w:r>
              <w:rPr>
                <w:rFonts w:hint="default" w:ascii="Times New Roman" w:hAnsi="Times New Roman" w:eastAsia="宋体" w:cs="Times New Roman"/>
                <w:bCs/>
                <w:color w:val="auto"/>
                <w:kern w:val="0"/>
                <w:sz w:val="24"/>
                <w:highlight w:val="none"/>
                <w:lang w:val="en-US" w:eastAsia="zh-CN" w:bidi="ar"/>
              </w:rPr>
              <w:t>站区设置有2969m</w:t>
            </w:r>
            <w:r>
              <w:rPr>
                <w:rFonts w:hint="default" w:ascii="Times New Roman" w:hAnsi="Times New Roman" w:eastAsia="宋体" w:cs="Times New Roman"/>
                <w:bCs/>
                <w:color w:val="auto"/>
                <w:kern w:val="0"/>
                <w:sz w:val="24"/>
                <w:highlight w:val="none"/>
                <w:vertAlign w:val="superscript"/>
                <w:lang w:val="en-US" w:eastAsia="zh-CN" w:bidi="ar"/>
              </w:rPr>
              <w:t>2</w:t>
            </w:r>
            <w:r>
              <w:rPr>
                <w:rFonts w:hint="default" w:ascii="Times New Roman" w:hAnsi="Times New Roman" w:eastAsia="宋体" w:cs="Times New Roman"/>
                <w:bCs/>
                <w:color w:val="auto"/>
                <w:kern w:val="0"/>
                <w:sz w:val="24"/>
                <w:highlight w:val="none"/>
                <w:lang w:bidi="ar"/>
              </w:rPr>
              <w:t>绿化</w:t>
            </w:r>
            <w:r>
              <w:rPr>
                <w:rFonts w:hint="default" w:ascii="Times New Roman" w:hAnsi="Times New Roman" w:eastAsia="宋体" w:cs="Times New Roman"/>
                <w:bCs/>
                <w:color w:val="auto"/>
                <w:kern w:val="0"/>
                <w:sz w:val="24"/>
                <w:highlight w:val="none"/>
                <w:lang w:val="en-US" w:eastAsia="zh-CN" w:bidi="ar"/>
              </w:rPr>
              <w:t>带</w:t>
            </w:r>
            <w:r>
              <w:rPr>
                <w:rFonts w:hint="default" w:ascii="Times New Roman" w:hAnsi="Times New Roman" w:eastAsia="宋体" w:cs="Times New Roman"/>
                <w:bCs/>
                <w:color w:val="auto"/>
                <w:kern w:val="0"/>
                <w:sz w:val="24"/>
                <w:highlight w:val="none"/>
                <w:lang w:eastAsia="zh-CN" w:bidi="ar"/>
              </w:rPr>
              <w:t>；</w:t>
            </w:r>
            <w:r>
              <w:rPr>
                <w:rFonts w:hint="default" w:ascii="Times New Roman" w:hAnsi="Times New Roman" w:eastAsia="宋体" w:cs="Times New Roman"/>
                <w:bCs/>
                <w:color w:val="auto"/>
                <w:kern w:val="0"/>
                <w:sz w:val="24"/>
                <w:highlight w:val="none"/>
                <w:lang w:val="en-US" w:eastAsia="zh-CN" w:bidi="ar"/>
              </w:rPr>
              <w:t>同时通过</w:t>
            </w:r>
            <w:r>
              <w:rPr>
                <w:rFonts w:hint="default" w:ascii="Times New Roman" w:hAnsi="Times New Roman" w:eastAsia="宋体" w:cs="Times New Roman"/>
                <w:caps w:val="0"/>
                <w:color w:val="auto"/>
                <w:sz w:val="24"/>
                <w:szCs w:val="24"/>
                <w:highlight w:val="none"/>
                <w:lang w:val="en-US" w:eastAsia="zh-CN"/>
              </w:rPr>
              <w:t>加强设备检查</w:t>
            </w:r>
            <w:r>
              <w:rPr>
                <w:rFonts w:hint="default" w:ascii="Times New Roman" w:hAnsi="Times New Roman" w:eastAsia="宋体" w:cs="Times New Roman"/>
                <w:color w:val="auto"/>
                <w:sz w:val="24"/>
                <w:highlight w:val="none"/>
              </w:rPr>
              <w:t>和维护，使</w:t>
            </w:r>
            <w:r>
              <w:rPr>
                <w:rFonts w:hint="default" w:ascii="Times New Roman" w:hAnsi="Times New Roman" w:eastAsia="宋体" w:cs="Times New Roman"/>
                <w:color w:val="auto"/>
                <w:sz w:val="24"/>
                <w:highlight w:val="none"/>
                <w:lang w:val="en-US" w:eastAsia="zh-CN"/>
              </w:rPr>
              <w:t>设备</w:t>
            </w:r>
            <w:r>
              <w:rPr>
                <w:rFonts w:hint="default" w:ascii="Times New Roman" w:hAnsi="Times New Roman" w:eastAsia="宋体" w:cs="Times New Roman"/>
                <w:color w:val="auto"/>
                <w:sz w:val="24"/>
                <w:highlight w:val="none"/>
              </w:rPr>
              <w:t>保持良好的运行状态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aps w:val="0"/>
                <w:color w:val="auto"/>
                <w:sz w:val="24"/>
                <w:szCs w:val="24"/>
                <w:highlight w:val="none"/>
                <w:lang w:val="en-US" w:eastAsia="zh-CN"/>
              </w:rPr>
              <w:t>发现异常或事故及时检修，防止由于故障运行产生的噪声环境影响。</w:t>
            </w:r>
          </w:p>
          <w:p w14:paraId="30B8A808">
            <w:pPr>
              <w:adjustRightIn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2、电磁环境控制措施</w:t>
            </w:r>
          </w:p>
          <w:p w14:paraId="3A6AF872">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r>
              <w:rPr>
                <w:rFonts w:hint="default" w:ascii="Times New Roman" w:hAnsi="Times New Roman" w:eastAsia="宋体" w:cs="Times New Roman"/>
                <w:bCs/>
                <w:color w:val="auto"/>
                <w:sz w:val="24"/>
                <w:highlight w:val="none"/>
              </w:rPr>
              <w:t>（1）</w:t>
            </w:r>
            <w:r>
              <w:rPr>
                <w:rFonts w:hint="default" w:ascii="Times New Roman" w:hAnsi="Times New Roman" w:eastAsia="宋体" w:cs="Times New Roman"/>
                <w:bCs/>
                <w:color w:val="auto"/>
                <w:kern w:val="0"/>
                <w:sz w:val="24"/>
                <w:highlight w:val="none"/>
                <w:lang w:bidi="ar"/>
              </w:rPr>
              <w:t>升压站内电气设备采取集中布置方式，采取控制过电压、电磁感应场强水平的措施，如保证导体和电气设备之间的电气安全距离，选用具有低辐射、抗干扰能力的设备。</w:t>
            </w:r>
          </w:p>
          <w:p w14:paraId="0DAB239E">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r>
              <w:rPr>
                <w:rFonts w:hint="default" w:ascii="Times New Roman" w:hAnsi="Times New Roman" w:eastAsia="宋体" w:cs="Times New Roman"/>
                <w:bCs/>
                <w:color w:val="auto"/>
                <w:sz w:val="24"/>
                <w:highlight w:val="none"/>
              </w:rPr>
              <w:t>（2）</w:t>
            </w:r>
            <w:r>
              <w:rPr>
                <w:rFonts w:hint="default" w:ascii="Times New Roman" w:hAnsi="Times New Roman" w:eastAsia="宋体" w:cs="Times New Roman"/>
                <w:bCs/>
                <w:color w:val="auto"/>
                <w:kern w:val="0"/>
                <w:sz w:val="24"/>
                <w:highlight w:val="none"/>
                <w:lang w:bidi="ar"/>
              </w:rPr>
              <w:t>合理选用各种电气设备及金属配件（如保护环、垫片、接头等），以减少高电位梯度点引起的放电。</w:t>
            </w:r>
          </w:p>
          <w:p w14:paraId="4BB39A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在</w:t>
            </w:r>
            <w:r>
              <w:rPr>
                <w:rFonts w:hint="default" w:ascii="Times New Roman" w:hAnsi="Times New Roman" w:eastAsia="宋体" w:cs="Times New Roman"/>
                <w:bCs/>
                <w:color w:val="auto"/>
                <w:sz w:val="24"/>
                <w:highlight w:val="none"/>
                <w:lang w:val="en-US" w:eastAsia="zh-CN"/>
              </w:rPr>
              <w:t>变电站</w:t>
            </w:r>
            <w:r>
              <w:rPr>
                <w:rFonts w:hint="default" w:ascii="Times New Roman" w:hAnsi="Times New Roman" w:eastAsia="宋体" w:cs="Times New Roman"/>
                <w:bCs/>
                <w:color w:val="auto"/>
                <w:sz w:val="24"/>
                <w:highlight w:val="none"/>
              </w:rPr>
              <w:t>站址周围粘贴、悬挂各种警告、防护标识，避免意外事故。对当地群众进行有关高压设备方面的环境宣传工作，帮助群众建立环境保护意识和自我防护意识，减少在高压走廊内的停留时间</w:t>
            </w:r>
            <w:r>
              <w:rPr>
                <w:rFonts w:hint="default" w:ascii="Times New Roman" w:hAnsi="Times New Roman" w:eastAsia="宋体" w:cs="Times New Roman"/>
                <w:color w:val="auto"/>
                <w:kern w:val="2"/>
                <w:sz w:val="24"/>
                <w:szCs w:val="24"/>
                <w:highlight w:val="none"/>
                <w:lang w:val="en-US" w:eastAsia="zh-CN" w:bidi="ar-SA"/>
              </w:rPr>
              <w:t>。</w:t>
            </w:r>
          </w:p>
          <w:p w14:paraId="4BF1BCCA">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3、水环境保护措施</w:t>
            </w:r>
          </w:p>
          <w:p w14:paraId="6E5BEF59">
            <w:pPr>
              <w:widowControl/>
              <w:spacing w:line="360" w:lineRule="auto"/>
              <w:ind w:firstLine="480" w:firstLineChars="200"/>
              <w:jc w:val="left"/>
              <w:rPr>
                <w:rFonts w:hint="default" w:ascii="Times New Roman" w:hAnsi="Times New Roman" w:eastAsia="宋体" w:cs="Times New Roman"/>
                <w:color w:val="auto"/>
                <w:sz w:val="24"/>
                <w:szCs w:val="22"/>
                <w:highlight w:val="none"/>
                <w:lang w:val="en-US" w:eastAsia="zh-CN"/>
              </w:rPr>
            </w:pPr>
            <w:bookmarkStart w:id="218" w:name="_Toc21064"/>
            <w:bookmarkStart w:id="219" w:name="_Toc20746"/>
            <w:bookmarkStart w:id="220" w:name="_Toc5722"/>
            <w:r>
              <w:rPr>
                <w:rFonts w:hint="default" w:ascii="Times New Roman" w:hAnsi="Times New Roman" w:eastAsia="宋体" w:cs="Times New Roman"/>
                <w:color w:val="auto"/>
                <w:sz w:val="24"/>
                <w:szCs w:val="22"/>
                <w:highlight w:val="none"/>
                <w:lang w:val="en-US" w:eastAsia="zh-CN"/>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及现场调查，升压站已采取废水治理措施包括：</w:t>
            </w:r>
          </w:p>
          <w:p w14:paraId="7EE72D6C">
            <w:pPr>
              <w:widowControl/>
              <w:spacing w:line="360" w:lineRule="auto"/>
              <w:ind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2"/>
                <w:highlight w:val="none"/>
                <w:lang w:val="en-US" w:eastAsia="zh-CN"/>
              </w:rPr>
              <w:t>①已</w:t>
            </w:r>
            <w:r>
              <w:rPr>
                <w:rFonts w:hint="default" w:ascii="Times New Roman" w:hAnsi="Times New Roman" w:eastAsia="宋体" w:cs="Times New Roman"/>
                <w:b w:val="0"/>
                <w:bCs w:val="0"/>
                <w:color w:val="auto"/>
                <w:sz w:val="24"/>
                <w:szCs w:val="24"/>
                <w:highlight w:val="none"/>
                <w:lang w:val="en-US" w:eastAsia="zh-CN"/>
              </w:rPr>
              <w:t>设置有雨污分流系统，于站区设置有雨水沟、污水管及回用系统；</w:t>
            </w:r>
          </w:p>
          <w:p w14:paraId="27BC3D6D">
            <w:pPr>
              <w:widowControl/>
              <w:spacing w:line="360" w:lineRule="auto"/>
              <w:ind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②于食堂设置有1个容积为0.5m³的食堂隔油池对食堂废水进行隔油预处理，已建食堂隔油池设置为地埋式；</w:t>
            </w:r>
          </w:p>
          <w:p w14:paraId="3BAEB2B2">
            <w:pPr>
              <w:widowControl/>
              <w:spacing w:line="360" w:lineRule="auto"/>
              <w:ind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③于站区设置有1个容积为2m³的埋地化粪池，食堂废水经隔油处理后与其他生活污水一同排入化粪池进行处理，已建化粪池设置为地埋式；</w:t>
            </w:r>
          </w:p>
          <w:p w14:paraId="7B1C8918">
            <w:pPr>
              <w:widowControl/>
              <w:spacing w:line="360" w:lineRule="auto"/>
              <w:ind w:firstLine="480" w:firstLineChars="200"/>
              <w:jc w:val="both"/>
              <w:rPr>
                <w:rFonts w:hint="default" w:ascii="Times New Roman" w:hAnsi="Times New Roman" w:eastAsia="宋体" w:cs="Times New Roman"/>
                <w:bCs/>
                <w:color w:val="auto"/>
                <w:kern w:val="0"/>
                <w:sz w:val="24"/>
                <w:highlight w:val="none"/>
                <w:lang w:val="en-US" w:bidi="ar"/>
              </w:rPr>
            </w:pPr>
            <w:r>
              <w:rPr>
                <w:rFonts w:hint="default" w:ascii="Times New Roman" w:hAnsi="Times New Roman" w:eastAsia="宋体" w:cs="Times New Roman"/>
                <w:b w:val="0"/>
                <w:bCs w:val="0"/>
                <w:color w:val="auto"/>
                <w:sz w:val="24"/>
                <w:szCs w:val="24"/>
                <w:highlight w:val="none"/>
                <w:lang w:val="en-US" w:eastAsia="zh-CN"/>
              </w:rPr>
              <w:t>④按要求设置有1套处理规模2m³/d的一体化污水处理站及1个容积为25.74</w:t>
            </w:r>
            <w:r>
              <w:rPr>
                <w:rFonts w:hint="default" w:ascii="Times New Roman" w:hAnsi="Times New Roman" w:eastAsia="宋体" w:cs="Times New Roman"/>
                <w:b w:val="0"/>
                <w:bCs w:val="0"/>
                <w:color w:val="auto"/>
                <w:sz w:val="24"/>
                <w:szCs w:val="24"/>
                <w:highlight w:val="none"/>
              </w:rPr>
              <w:t>m³</w:t>
            </w:r>
            <w:r>
              <w:rPr>
                <w:rFonts w:hint="default" w:ascii="Times New Roman" w:hAnsi="Times New Roman" w:eastAsia="宋体" w:cs="Times New Roman"/>
                <w:b w:val="0"/>
                <w:bCs w:val="0"/>
                <w:color w:val="auto"/>
                <w:sz w:val="24"/>
                <w:szCs w:val="24"/>
                <w:highlight w:val="none"/>
                <w:lang w:val="en-US" w:eastAsia="zh-CN"/>
              </w:rPr>
              <w:t>清水池，产生的食堂废水经食堂隔油池预处理后，和其他一般生活污水一同排入化粪池，经化粪池处理后排至自建一体化污水处理站进行处理，经处理达</w:t>
            </w:r>
            <w:r>
              <w:rPr>
                <w:rFonts w:hint="default" w:ascii="Times New Roman" w:hAnsi="Times New Roman" w:eastAsia="宋体" w:cs="Times New Roman"/>
                <w:b w:val="0"/>
                <w:bCs w:val="0"/>
                <w:color w:val="auto"/>
                <w:sz w:val="24"/>
                <w:szCs w:val="24"/>
                <w:highlight w:val="none"/>
              </w:rPr>
              <w:t>《城市污水再生利用城市杂用水水质》（GB/T18920-2020）中绿化标准后回用于升压站内绿化</w:t>
            </w:r>
            <w:r>
              <w:rPr>
                <w:rFonts w:hint="default" w:ascii="Times New Roman" w:hAnsi="Times New Roman" w:eastAsia="宋体" w:cs="Times New Roman"/>
                <w:b w:val="0"/>
                <w:bCs w:val="0"/>
                <w:color w:val="auto"/>
                <w:sz w:val="24"/>
                <w:szCs w:val="24"/>
                <w:highlight w:val="none"/>
                <w:lang w:val="en-US" w:eastAsia="zh-CN"/>
              </w:rPr>
              <w:t>用水</w:t>
            </w:r>
            <w:r>
              <w:rPr>
                <w:rFonts w:hint="default" w:ascii="Times New Roman" w:hAnsi="Times New Roman" w:eastAsia="宋体" w:cs="Times New Roman"/>
                <w:b w:val="0"/>
                <w:bCs w:val="0"/>
                <w:color w:val="auto"/>
                <w:sz w:val="24"/>
                <w:szCs w:val="24"/>
                <w:highlight w:val="none"/>
              </w:rPr>
              <w:t>，不外排</w:t>
            </w:r>
            <w:r>
              <w:rPr>
                <w:rFonts w:hint="default" w:ascii="Times New Roman" w:hAnsi="Times New Roman" w:eastAsia="宋体" w:cs="Times New Roman"/>
                <w:b w:val="0"/>
                <w:bCs w:val="0"/>
                <w:color w:val="auto"/>
                <w:sz w:val="24"/>
                <w:szCs w:val="24"/>
                <w:highlight w:val="none"/>
                <w:lang w:eastAsia="zh-CN"/>
              </w:rPr>
              <w:t>。</w:t>
            </w:r>
          </w:p>
          <w:p w14:paraId="276A7252">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auto"/>
                <w:kern w:val="2"/>
                <w:sz w:val="24"/>
                <w:szCs w:val="24"/>
                <w:highlight w:val="none"/>
                <w:lang w:val="en-US" w:eastAsia="zh-CN" w:bidi="ar-SA"/>
              </w:rPr>
            </w:pPr>
            <w:bookmarkStart w:id="221" w:name="_Toc14946"/>
            <w:r>
              <w:rPr>
                <w:rFonts w:hint="default" w:ascii="Times New Roman" w:hAnsi="Times New Roman" w:eastAsia="宋体" w:cs="Times New Roman"/>
                <w:b/>
                <w:bCs w:val="0"/>
                <w:color w:val="auto"/>
                <w:kern w:val="2"/>
                <w:sz w:val="24"/>
                <w:szCs w:val="24"/>
                <w:highlight w:val="none"/>
                <w:lang w:val="en-US" w:eastAsia="zh-CN" w:bidi="ar-SA"/>
              </w:rPr>
              <w:t>4、大气环境保护措施</w:t>
            </w:r>
            <w:bookmarkEnd w:id="218"/>
            <w:bookmarkEnd w:id="219"/>
            <w:bookmarkEnd w:id="220"/>
            <w:bookmarkEnd w:id="221"/>
          </w:p>
          <w:p w14:paraId="7E4916A5">
            <w:pPr>
              <w:widowControl/>
              <w:spacing w:line="360" w:lineRule="auto"/>
              <w:ind w:firstLine="480" w:firstLineChars="200"/>
              <w:jc w:val="left"/>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及现场调查，升压站已采取废气治理措施包括：</w:t>
            </w:r>
          </w:p>
          <w:p w14:paraId="500315A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①于食堂设置有1套油烟机，产生的食堂油烟经油烟机处理后通过专用烟道引至楼顶排放；</w:t>
            </w:r>
          </w:p>
          <w:p w14:paraId="4FF581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②设置</w:t>
            </w:r>
            <w:r>
              <w:rPr>
                <w:rFonts w:hint="default" w:ascii="Times New Roman" w:hAnsi="Times New Roman" w:eastAsia="宋体" w:cs="Times New Roman"/>
                <w:bCs/>
                <w:color w:val="auto"/>
                <w:kern w:val="0"/>
                <w:sz w:val="24"/>
                <w:highlight w:val="none"/>
                <w:lang w:val="en-US" w:eastAsia="zh-CN" w:bidi="ar"/>
              </w:rPr>
              <w:t>有2969m</w:t>
            </w:r>
            <w:r>
              <w:rPr>
                <w:rFonts w:hint="default" w:ascii="Times New Roman" w:hAnsi="Times New Roman" w:eastAsia="宋体" w:cs="Times New Roman"/>
                <w:bCs/>
                <w:color w:val="auto"/>
                <w:kern w:val="0"/>
                <w:sz w:val="24"/>
                <w:highlight w:val="none"/>
                <w:vertAlign w:val="superscript"/>
                <w:lang w:val="en-US" w:eastAsia="zh-CN" w:bidi="ar"/>
              </w:rPr>
              <w:t>2</w:t>
            </w:r>
            <w:r>
              <w:rPr>
                <w:rFonts w:hint="default" w:ascii="Times New Roman" w:hAnsi="Times New Roman" w:eastAsia="宋体" w:cs="Times New Roman"/>
                <w:bCs/>
                <w:color w:val="auto"/>
                <w:kern w:val="0"/>
                <w:sz w:val="24"/>
                <w:highlight w:val="none"/>
                <w:lang w:bidi="ar"/>
              </w:rPr>
              <w:t>绿化</w:t>
            </w:r>
            <w:r>
              <w:rPr>
                <w:rFonts w:hint="default" w:ascii="Times New Roman" w:hAnsi="Times New Roman" w:eastAsia="宋体" w:cs="Times New Roman"/>
                <w:bCs/>
                <w:color w:val="auto"/>
                <w:kern w:val="0"/>
                <w:sz w:val="24"/>
                <w:highlight w:val="none"/>
                <w:lang w:val="en-US" w:eastAsia="zh-CN" w:bidi="ar"/>
              </w:rPr>
              <w:t>带，可起到美化环境及净化空气的作用</w:t>
            </w:r>
            <w:r>
              <w:rPr>
                <w:rFonts w:hint="default" w:ascii="Times New Roman" w:hAnsi="Times New Roman" w:eastAsia="宋体" w:cs="Times New Roman"/>
                <w:bCs/>
                <w:color w:val="auto"/>
                <w:sz w:val="24"/>
                <w:highlight w:val="none"/>
              </w:rPr>
              <w:t>。</w:t>
            </w:r>
          </w:p>
          <w:p w14:paraId="6343DEEC">
            <w:pPr>
              <w:adjustRightInd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固体废物环境保护措施</w:t>
            </w:r>
          </w:p>
          <w:p w14:paraId="077961FC">
            <w:pPr>
              <w:widowControl/>
              <w:spacing w:line="360" w:lineRule="auto"/>
              <w:ind w:firstLine="480" w:firstLineChars="200"/>
              <w:jc w:val="left"/>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2"/>
                <w:highlight w:val="none"/>
              </w:rPr>
              <w:t>环境影响报告表》</w:t>
            </w:r>
            <w:r>
              <w:rPr>
                <w:rFonts w:hint="default" w:ascii="Times New Roman" w:hAnsi="Times New Roman" w:eastAsia="宋体" w:cs="Times New Roman"/>
                <w:color w:val="auto"/>
                <w:sz w:val="24"/>
                <w:szCs w:val="22"/>
                <w:highlight w:val="none"/>
                <w:lang w:val="en-US" w:eastAsia="zh-CN"/>
              </w:rPr>
              <w:t>及现场调查，升压站已采取固废治理措施包括：</w:t>
            </w:r>
          </w:p>
          <w:p w14:paraId="32D8FAC9">
            <w:pPr>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于站区设置有生活垃圾收集桶及生活垃圾收集箱，站区</w:t>
            </w:r>
            <w:r>
              <w:rPr>
                <w:rFonts w:hint="default" w:ascii="Times New Roman" w:hAnsi="Times New Roman" w:eastAsia="宋体" w:cs="Times New Roman"/>
                <w:color w:val="auto"/>
                <w:sz w:val="24"/>
                <w:szCs w:val="24"/>
                <w:highlight w:val="none"/>
                <w:lang w:val="en-US" w:eastAsia="zh-CN"/>
              </w:rPr>
              <w:t>产生的生活垃圾及检修废物经垃圾桶、垃圾收集箱收集后，</w:t>
            </w:r>
            <w:r>
              <w:rPr>
                <w:rFonts w:hint="default" w:ascii="Times New Roman" w:hAnsi="Times New Roman" w:eastAsia="宋体" w:cs="Times New Roman"/>
                <w:color w:val="auto"/>
                <w:sz w:val="24"/>
                <w:szCs w:val="24"/>
                <w:highlight w:val="none"/>
              </w:rPr>
              <w:t>运送至就近的</w:t>
            </w:r>
            <w:r>
              <w:rPr>
                <w:rFonts w:hint="default" w:ascii="Times New Roman" w:hAnsi="Times New Roman" w:eastAsia="宋体" w:cs="Times New Roman"/>
                <w:color w:val="auto"/>
                <w:sz w:val="24"/>
                <w:szCs w:val="24"/>
                <w:highlight w:val="none"/>
                <w:lang w:val="en-US" w:eastAsia="zh-CN"/>
              </w:rPr>
              <w:t>村庄生活</w:t>
            </w:r>
            <w:r>
              <w:rPr>
                <w:rFonts w:hint="default" w:ascii="Times New Roman" w:hAnsi="Times New Roman" w:eastAsia="宋体" w:cs="Times New Roman"/>
                <w:color w:val="auto"/>
                <w:sz w:val="24"/>
                <w:szCs w:val="24"/>
                <w:highlight w:val="none"/>
              </w:rPr>
              <w:t>垃圾</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收集点，与附近村庄垃圾一同</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处置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产生的食堂废油脂经收集后</w:t>
            </w:r>
            <w:r>
              <w:rPr>
                <w:rFonts w:hint="default" w:ascii="Times New Roman" w:hAnsi="Times New Roman" w:eastAsia="宋体" w:cs="Times New Roman"/>
                <w:color w:val="auto"/>
                <w:sz w:val="24"/>
                <w:szCs w:val="24"/>
                <w:highlight w:val="none"/>
              </w:rPr>
              <w:t>，交由相关单位进行回收处置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污水设施</w:t>
            </w:r>
            <w:r>
              <w:rPr>
                <w:rFonts w:hint="default" w:ascii="Times New Roman" w:hAnsi="Times New Roman" w:eastAsia="宋体" w:cs="Times New Roman"/>
                <w:color w:val="auto"/>
                <w:sz w:val="24"/>
                <w:szCs w:val="24"/>
                <w:highlight w:val="none"/>
              </w:rPr>
              <w:t>污泥</w:t>
            </w:r>
            <w:r>
              <w:rPr>
                <w:rFonts w:hint="default" w:ascii="Times New Roman" w:hAnsi="Times New Roman" w:eastAsia="宋体"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rPr>
              <w:t>清掏后用于</w:t>
            </w:r>
            <w:r>
              <w:rPr>
                <w:rFonts w:hint="default" w:ascii="Times New Roman" w:hAnsi="Times New Roman" w:eastAsia="宋体" w:cs="Times New Roman"/>
                <w:color w:val="auto"/>
                <w:sz w:val="24"/>
                <w:szCs w:val="24"/>
                <w:highlight w:val="none"/>
                <w:lang w:val="en-US" w:eastAsia="zh-CN"/>
              </w:rPr>
              <w:t>升压站站址</w:t>
            </w:r>
            <w:r>
              <w:rPr>
                <w:rFonts w:hint="default" w:ascii="Times New Roman" w:hAnsi="Times New Roman" w:eastAsia="宋体" w:cs="Times New Roman"/>
                <w:color w:val="auto"/>
                <w:sz w:val="24"/>
                <w:szCs w:val="24"/>
                <w:highlight w:val="none"/>
              </w:rPr>
              <w:t>周围植物施肥</w:t>
            </w:r>
            <w:r>
              <w:rPr>
                <w:rFonts w:hint="default" w:ascii="Times New Roman" w:hAnsi="Times New Roman" w:eastAsia="宋体" w:cs="Times New Roman"/>
                <w:color w:val="auto"/>
                <w:sz w:val="24"/>
                <w:szCs w:val="24"/>
                <w:highlight w:val="none"/>
                <w:lang w:eastAsia="zh-CN"/>
              </w:rPr>
              <w:t>。</w:t>
            </w:r>
          </w:p>
          <w:p w14:paraId="4C6F926B">
            <w:pPr>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主变下方</w:t>
            </w:r>
            <w:r>
              <w:rPr>
                <w:rFonts w:hint="default" w:ascii="Times New Roman" w:hAnsi="Times New Roman" w:eastAsia="宋体" w:cs="Times New Roman"/>
                <w:color w:val="auto"/>
                <w:sz w:val="24"/>
                <w:szCs w:val="24"/>
                <w:highlight w:val="none"/>
                <w:lang w:val="en-US" w:eastAsia="zh-CN"/>
              </w:rPr>
              <w:t>设置1个容积为20m³的主变集油坑，同时设置有输油管道及1个容积为52.8m³的事故油池，</w:t>
            </w:r>
            <w:r>
              <w:rPr>
                <w:rFonts w:hint="default" w:ascii="Times New Roman" w:hAnsi="Times New Roman" w:eastAsia="宋体" w:cs="Times New Roman"/>
                <w:color w:val="auto"/>
                <w:spacing w:val="0"/>
                <w:sz w:val="24"/>
                <w:szCs w:val="24"/>
                <w:highlight w:val="none"/>
                <w:lang w:val="en-US" w:eastAsia="zh-CN"/>
              </w:rPr>
              <w:t>集油坑及事故油池之间采用排油管道相连，集油坑及事故油池已进行防渗处理。</w:t>
            </w:r>
            <w:r>
              <w:rPr>
                <w:rFonts w:hint="default" w:ascii="Times New Roman" w:hAnsi="Times New Roman" w:eastAsia="宋体" w:cs="Times New Roman"/>
                <w:color w:val="auto"/>
                <w:spacing w:val="0"/>
                <w:sz w:val="24"/>
                <w:szCs w:val="24"/>
                <w:highlight w:val="none"/>
              </w:rPr>
              <w:t>若</w:t>
            </w:r>
            <w:r>
              <w:rPr>
                <w:rFonts w:hint="default" w:ascii="Times New Roman" w:hAnsi="Times New Roman" w:eastAsia="宋体" w:cs="Times New Roman"/>
                <w:color w:val="auto"/>
                <w:sz w:val="24"/>
                <w:szCs w:val="24"/>
                <w:highlight w:val="none"/>
                <w:lang w:eastAsia="zh-CN"/>
              </w:rPr>
              <w:t>主变压器</w:t>
            </w:r>
            <w:r>
              <w:rPr>
                <w:rFonts w:hint="default" w:ascii="Times New Roman" w:hAnsi="Times New Roman" w:eastAsia="宋体" w:cs="Times New Roman"/>
                <w:color w:val="auto"/>
                <w:spacing w:val="0"/>
                <w:sz w:val="24"/>
                <w:szCs w:val="24"/>
                <w:highlight w:val="none"/>
              </w:rPr>
              <w:t>发生事故，事故油进入变压器下方集油坑，经排油管道进入事故油池</w:t>
            </w:r>
            <w:r>
              <w:rPr>
                <w:rFonts w:hint="default" w:ascii="Times New Roman" w:hAnsi="Times New Roman" w:eastAsia="宋体" w:cs="Times New Roman"/>
                <w:color w:val="auto"/>
                <w:spacing w:val="0"/>
                <w:sz w:val="24"/>
                <w:szCs w:val="24"/>
                <w:highlight w:val="none"/>
                <w:lang w:val="en-US" w:eastAsia="zh-CN"/>
              </w:rPr>
              <w:t>收集</w:t>
            </w:r>
            <w:r>
              <w:rPr>
                <w:rFonts w:hint="default" w:ascii="Times New Roman" w:hAnsi="Times New Roman" w:eastAsia="宋体" w:cs="Times New Roman"/>
                <w:color w:val="auto"/>
                <w:spacing w:val="0"/>
                <w:sz w:val="24"/>
                <w:szCs w:val="24"/>
                <w:highlight w:val="none"/>
              </w:rPr>
              <w:t>后</w:t>
            </w:r>
            <w:r>
              <w:rPr>
                <w:rFonts w:hint="default" w:ascii="Times New Roman" w:hAnsi="Times New Roman" w:eastAsia="宋体" w:cs="Times New Roman"/>
                <w:color w:val="auto"/>
                <w:spacing w:val="0"/>
                <w:sz w:val="24"/>
                <w:szCs w:val="24"/>
                <w:highlight w:val="none"/>
                <w:lang w:val="en-US" w:eastAsia="zh-CN"/>
              </w:rPr>
              <w:t>可</w:t>
            </w:r>
            <w:r>
              <w:rPr>
                <w:rFonts w:hint="default" w:ascii="Times New Roman" w:hAnsi="Times New Roman" w:eastAsia="宋体" w:cs="Times New Roman"/>
                <w:color w:val="auto"/>
                <w:spacing w:val="0"/>
                <w:sz w:val="24"/>
                <w:szCs w:val="24"/>
                <w:highlight w:val="none"/>
              </w:rPr>
              <w:t>回用</w:t>
            </w:r>
            <w:r>
              <w:rPr>
                <w:rFonts w:hint="default" w:ascii="Times New Roman" w:hAnsi="Times New Roman" w:eastAsia="宋体" w:cs="Times New Roman"/>
                <w:color w:val="auto"/>
                <w:spacing w:val="0"/>
                <w:sz w:val="24"/>
                <w:szCs w:val="24"/>
                <w:highlight w:val="none"/>
                <w:lang w:val="en-US" w:eastAsia="zh-CN"/>
              </w:rPr>
              <w:t>部分充分</w:t>
            </w:r>
            <w:r>
              <w:rPr>
                <w:rFonts w:hint="default" w:ascii="Times New Roman" w:hAnsi="Times New Roman" w:eastAsia="宋体" w:cs="Times New Roman"/>
                <w:color w:val="auto"/>
                <w:spacing w:val="0"/>
                <w:sz w:val="24"/>
                <w:szCs w:val="24"/>
                <w:highlight w:val="none"/>
              </w:rPr>
              <w:t>回用，不能回用的委托</w:t>
            </w:r>
            <w:r>
              <w:rPr>
                <w:rFonts w:hint="default" w:ascii="Times New Roman" w:hAnsi="Times New Roman" w:eastAsia="宋体" w:cs="Times New Roman"/>
                <w:color w:val="auto"/>
                <w:spacing w:val="0"/>
                <w:sz w:val="24"/>
                <w:szCs w:val="24"/>
                <w:highlight w:val="none"/>
                <w:lang w:eastAsia="zh-CN"/>
              </w:rPr>
              <w:t>有资质单位处置</w:t>
            </w:r>
            <w:r>
              <w:rPr>
                <w:rFonts w:hint="default" w:ascii="Times New Roman" w:hAnsi="Times New Roman" w:eastAsia="宋体" w:cs="Times New Roman"/>
                <w:color w:val="auto"/>
                <w:spacing w:val="0"/>
                <w:sz w:val="24"/>
                <w:szCs w:val="24"/>
                <w:highlight w:val="none"/>
              </w:rPr>
              <w:t>。</w:t>
            </w:r>
          </w:p>
          <w:p w14:paraId="79A10D39">
            <w:pPr>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（3）已按要求设置有1间占地面积为39.32m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危废暂存间，危废暂存间已按要求进行防渗处理、已设置有标志、标识牌及危废台账，并已与云南大地丰源环保有限公司签订危险废物处置协议（详见附件14），产生的废旧蓄电池及事故废油回用后不能回用的废油渣经收集后，暂存于危废暂存间，定期委托云南大地丰源环保有限公司进行处置。</w:t>
            </w:r>
          </w:p>
          <w:p w14:paraId="3AF17C2D">
            <w:pPr>
              <w:adjustRightIn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val="en-US" w:eastAsia="zh-CN"/>
              </w:rPr>
              <w:t>已按</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color w:val="auto"/>
                <w:sz w:val="24"/>
                <w:highlight w:val="none"/>
                <w:lang w:val="en-US" w:eastAsia="zh-CN"/>
              </w:rPr>
              <w:t>相求要求进行危废暂存间建设；已按相关要求对</w:t>
            </w:r>
            <w:r>
              <w:rPr>
                <w:rFonts w:hint="default" w:ascii="Times New Roman" w:hAnsi="Times New Roman" w:eastAsia="宋体" w:cs="Times New Roman"/>
                <w:color w:val="auto"/>
                <w:sz w:val="24"/>
                <w:highlight w:val="none"/>
              </w:rPr>
              <w:t>事故油池、集油坑</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排油管道等进行防渗处理</w:t>
            </w:r>
            <w:r>
              <w:rPr>
                <w:rFonts w:hint="default" w:ascii="Times New Roman" w:hAnsi="Times New Roman" w:eastAsia="宋体" w:cs="Times New Roman"/>
                <w:bCs/>
                <w:color w:val="auto"/>
                <w:sz w:val="24"/>
                <w:highlight w:val="none"/>
                <w:lang w:val="en-US" w:eastAsia="zh-CN"/>
              </w:rPr>
              <w:t>。</w:t>
            </w:r>
          </w:p>
          <w:p w14:paraId="30EE79EA">
            <w:pPr>
              <w:pStyle w:val="23"/>
              <w:keepNext w:val="0"/>
              <w:keepLines w:val="0"/>
              <w:pageBreakBefore w:val="0"/>
              <w:widowControl/>
              <w:kinsoku/>
              <w:wordWrap/>
              <w:overflowPunct/>
              <w:topLinePunct w:val="0"/>
              <w:autoSpaceDE/>
              <w:autoSpaceDN/>
              <w:bidi w:val="0"/>
              <w:adjustRightInd/>
              <w:snapToGrid/>
              <w:spacing w:before="0" w:after="0" w:line="360" w:lineRule="auto"/>
              <w:ind w:right="113"/>
              <w:jc w:val="both"/>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bCs/>
                <w:color w:val="auto"/>
                <w:sz w:val="24"/>
                <w:highlight w:val="none"/>
                <w:lang w:val="en-US" w:eastAsia="zh-CN"/>
              </w:rPr>
              <w:t xml:space="preserve">    </w:t>
            </w:r>
            <w:bookmarkStart w:id="222" w:name="_Toc6670"/>
            <w:bookmarkStart w:id="223" w:name="_Toc28779"/>
            <w:bookmarkStart w:id="224" w:name="_Toc3268"/>
            <w:bookmarkStart w:id="225" w:name="_Toc16636"/>
            <w:r>
              <w:rPr>
                <w:rFonts w:hint="default" w:ascii="Times New Roman" w:hAnsi="Times New Roman" w:eastAsia="宋体" w:cs="Times New Roman"/>
                <w:b w:val="0"/>
                <w:bCs w:val="0"/>
                <w:color w:val="auto"/>
                <w:kern w:val="2"/>
                <w:sz w:val="24"/>
                <w:szCs w:val="24"/>
                <w:highlight w:val="none"/>
                <w:lang w:val="en-US" w:eastAsia="zh-CN" w:bidi="ar-SA"/>
              </w:rPr>
              <w:t>（5）已设置危废台账，运营期建加强危废管理，定期对所贮存的危险废物包装容器及贮存设施进行检查，发现破损，及时采取措施清理更换。</w:t>
            </w:r>
            <w:bookmarkEnd w:id="222"/>
            <w:bookmarkEnd w:id="223"/>
            <w:bookmarkEnd w:id="224"/>
            <w:bookmarkEnd w:id="225"/>
          </w:p>
          <w:p w14:paraId="07154E2B">
            <w:pPr>
              <w:adjustRightInd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6、环境风险防范措施</w:t>
            </w:r>
          </w:p>
          <w:p w14:paraId="2DBC4DD1">
            <w:pPr>
              <w:widowControl/>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rPr>
              <w:t>环境影响报告表》</w:t>
            </w:r>
            <w:r>
              <w:rPr>
                <w:rFonts w:hint="default" w:ascii="Times New Roman" w:hAnsi="Times New Roman" w:eastAsia="宋体" w:cs="Times New Roman"/>
                <w:color w:val="auto"/>
                <w:sz w:val="24"/>
                <w:szCs w:val="24"/>
                <w:highlight w:val="none"/>
                <w:lang w:val="en-US" w:eastAsia="zh-CN"/>
              </w:rPr>
              <w:t>及现场调查，升压站已采取环境风险预防措施包括：</w:t>
            </w:r>
          </w:p>
          <w:p w14:paraId="70FBDF6D">
            <w:pPr>
              <w:keepNext w:val="0"/>
              <w:keepLines w:val="0"/>
              <w:pageBreakBefore w:val="0"/>
              <w:widowControl w:val="0"/>
              <w:kinsoku/>
              <w:wordWrap/>
              <w:overflowPunct/>
              <w:topLinePunct w:val="0"/>
              <w:autoSpaceDE/>
              <w:autoSpaceDN/>
              <w:bidi w:val="0"/>
              <w:adjustRightInd/>
              <w:snapToGrid/>
              <w:spacing w:line="360" w:lineRule="auto"/>
              <w:ind w:firstLine="508"/>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val="en-US" w:eastAsia="zh-CN"/>
              </w:rPr>
              <w:t>已建</w:t>
            </w:r>
            <w:r>
              <w:rPr>
                <w:rFonts w:hint="default" w:ascii="Times New Roman" w:hAnsi="Times New Roman" w:eastAsia="宋体" w:cs="Times New Roman"/>
                <w:color w:val="auto"/>
                <w:sz w:val="24"/>
                <w:szCs w:val="24"/>
                <w:highlight w:val="none"/>
              </w:rPr>
              <w:t>集油坑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事故油池</w:t>
            </w:r>
            <w:r>
              <w:rPr>
                <w:rFonts w:hint="default" w:ascii="Times New Roman" w:hAnsi="Times New Roman" w:eastAsia="宋体" w:cs="Times New Roman"/>
                <w:color w:val="auto"/>
                <w:sz w:val="24"/>
                <w:szCs w:val="24"/>
                <w:highlight w:val="none"/>
                <w:lang w:val="en-US" w:eastAsia="zh-CN"/>
              </w:rPr>
              <w:t>及危废暂存间等</w:t>
            </w:r>
            <w:r>
              <w:rPr>
                <w:rFonts w:hint="default" w:ascii="Times New Roman" w:hAnsi="Times New Roman" w:eastAsia="宋体" w:cs="Times New Roman"/>
                <w:color w:val="auto"/>
                <w:sz w:val="24"/>
                <w:szCs w:val="24"/>
                <w:highlight w:val="none"/>
              </w:rPr>
              <w:t>按照《危险废物贮存污染控制标准》（GB18597-2023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的要求进行</w:t>
            </w:r>
            <w:r>
              <w:rPr>
                <w:rFonts w:hint="default"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，设置了防渗层，</w:t>
            </w:r>
            <w:r>
              <w:rPr>
                <w:rFonts w:hint="default" w:ascii="Times New Roman" w:hAnsi="Times New Roman" w:eastAsia="宋体" w:cs="Times New Roman"/>
                <w:color w:val="auto"/>
                <w:sz w:val="24"/>
                <w:szCs w:val="24"/>
                <w:highlight w:val="none"/>
                <w:lang w:val="en-US" w:eastAsia="zh-CN"/>
              </w:rPr>
              <w:t>并加强了管理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事故油池设置为地埋式，容积为</w:t>
            </w:r>
            <w:r>
              <w:rPr>
                <w:rFonts w:hint="default" w:ascii="Times New Roman" w:hAnsi="Times New Roman" w:eastAsia="宋体" w:cs="Times New Roman"/>
                <w:color w:val="auto"/>
                <w:sz w:val="24"/>
                <w:szCs w:val="24"/>
                <w:highlight w:val="none"/>
                <w:lang w:val="en-US" w:eastAsia="zh-CN"/>
              </w:rPr>
              <w:t>52.8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，产生的废油由集油坑收集后，经集油管道引至事故油池</w:t>
            </w:r>
            <w:r>
              <w:rPr>
                <w:rFonts w:hint="default" w:ascii="Times New Roman" w:hAnsi="Times New Roman" w:eastAsia="宋体" w:cs="Times New Roman"/>
                <w:color w:val="auto"/>
                <w:sz w:val="24"/>
                <w:szCs w:val="24"/>
                <w:highlight w:val="none"/>
                <w:lang w:val="en-US" w:eastAsia="zh-CN"/>
              </w:rPr>
              <w:t>暂存，经回用后不可回用的废油渣收集、</w:t>
            </w:r>
            <w:r>
              <w:rPr>
                <w:rFonts w:hint="default" w:ascii="Times New Roman" w:hAnsi="Times New Roman" w:eastAsia="宋体" w:cs="Times New Roman"/>
                <w:color w:val="auto"/>
                <w:sz w:val="24"/>
                <w:szCs w:val="24"/>
                <w:highlight w:val="none"/>
              </w:rPr>
              <w:t>暂存于</w:t>
            </w:r>
            <w:r>
              <w:rPr>
                <w:rFonts w:hint="default" w:ascii="Times New Roman" w:hAnsi="Times New Roman" w:eastAsia="宋体" w:cs="Times New Roman"/>
                <w:color w:val="auto"/>
                <w:sz w:val="24"/>
                <w:szCs w:val="24"/>
                <w:highlight w:val="none"/>
                <w:lang w:val="en-US" w:eastAsia="zh-CN"/>
              </w:rPr>
              <w:t>为非</w:t>
            </w:r>
            <w:r>
              <w:rPr>
                <w:rFonts w:hint="default" w:ascii="Times New Roman" w:hAnsi="Times New Roman" w:eastAsia="宋体" w:cs="Times New Roman"/>
                <w:color w:val="auto"/>
                <w:sz w:val="24"/>
                <w:szCs w:val="24"/>
                <w:highlight w:val="none"/>
              </w:rPr>
              <w:t>暂存间</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占地面积为39.32m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rPr>
              <w:t>内，定期</w:t>
            </w:r>
            <w:r>
              <w:rPr>
                <w:rFonts w:hint="default" w:ascii="Times New Roman" w:hAnsi="Times New Roman" w:eastAsia="宋体" w:cs="Times New Roman"/>
                <w:color w:val="auto"/>
                <w:sz w:val="24"/>
                <w:szCs w:val="24"/>
                <w:highlight w:val="none"/>
                <w:lang w:val="en-US" w:eastAsia="zh-CN"/>
              </w:rPr>
              <w:t>委托云南大地丰源环保有限公司</w:t>
            </w:r>
            <w:r>
              <w:rPr>
                <w:rFonts w:hint="default" w:ascii="Times New Roman" w:hAnsi="Times New Roman" w:eastAsia="宋体" w:cs="Times New Roman"/>
                <w:color w:val="auto"/>
                <w:sz w:val="24"/>
                <w:szCs w:val="24"/>
                <w:highlight w:val="none"/>
              </w:rPr>
              <w:t>处置。</w:t>
            </w:r>
          </w:p>
          <w:p w14:paraId="761EA748">
            <w:pPr>
              <w:keepNext w:val="0"/>
              <w:keepLines w:val="0"/>
              <w:pageBreakBefore w:val="0"/>
              <w:widowControl w:val="0"/>
              <w:kinsoku/>
              <w:wordWrap/>
              <w:overflowPunct/>
              <w:topLinePunct w:val="0"/>
              <w:autoSpaceDE/>
              <w:autoSpaceDN/>
              <w:bidi w:val="0"/>
              <w:adjustRightInd/>
              <w:snapToGrid/>
              <w:spacing w:line="360" w:lineRule="auto"/>
              <w:ind w:firstLine="508"/>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②运行期</w:t>
            </w:r>
            <w:r>
              <w:rPr>
                <w:rFonts w:hint="default" w:ascii="Times New Roman" w:hAnsi="Times New Roman" w:eastAsia="宋体" w:cs="Times New Roman"/>
                <w:color w:val="auto"/>
                <w:sz w:val="24"/>
                <w:szCs w:val="24"/>
                <w:highlight w:val="none"/>
                <w:lang w:val="en-US" w:eastAsia="zh-CN"/>
              </w:rPr>
              <w:t>安排有专人</w:t>
            </w:r>
            <w:r>
              <w:rPr>
                <w:rFonts w:hint="default" w:ascii="Times New Roman" w:hAnsi="Times New Roman" w:eastAsia="宋体" w:cs="Times New Roman"/>
                <w:color w:val="auto"/>
                <w:sz w:val="24"/>
                <w:szCs w:val="24"/>
                <w:highlight w:val="none"/>
              </w:rPr>
              <w:t>维护人员对设备进行定期检查，防止发生滴、漏现象；对事故油池的完好情况进行检查，确保无渗漏、无溢流。</w:t>
            </w:r>
          </w:p>
          <w:p w14:paraId="59427BBC">
            <w:pPr>
              <w:keepNext w:val="0"/>
              <w:keepLines w:val="0"/>
              <w:pageBreakBefore w:val="0"/>
              <w:widowControl w:val="0"/>
              <w:kinsoku/>
              <w:wordWrap/>
              <w:overflowPunct/>
              <w:topLinePunct w:val="0"/>
              <w:autoSpaceDE/>
              <w:autoSpaceDN/>
              <w:bidi w:val="0"/>
              <w:adjustRightInd/>
              <w:snapToGrid/>
              <w:spacing w:line="360" w:lineRule="auto"/>
              <w:ind w:firstLine="508"/>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val="en-US" w:eastAsia="zh-CN"/>
              </w:rPr>
              <w:t>变电站</w:t>
            </w:r>
            <w:r>
              <w:rPr>
                <w:rFonts w:hint="default" w:ascii="Times New Roman" w:hAnsi="Times New Roman" w:eastAsia="宋体" w:cs="Times New Roman"/>
                <w:color w:val="auto"/>
                <w:spacing w:val="0"/>
                <w:sz w:val="24"/>
                <w:szCs w:val="24"/>
                <w:highlight w:val="none"/>
              </w:rPr>
              <w:t>站区设置一套独立的消防水系统，升压站区及预留储能区设置室外消火栓系统，综合楼设置内消火栓系统，同时各建筑物及主变压器、SVG装置附近等按规范配置手提式灭火器、推车灭火器、砂箱及消防铲等消防设施</w:t>
            </w:r>
            <w:r>
              <w:rPr>
                <w:rFonts w:hint="default" w:ascii="Times New Roman" w:hAnsi="Times New Roman" w:eastAsia="宋体" w:cs="Times New Roman"/>
                <w:color w:val="auto"/>
                <w:spacing w:val="0"/>
                <w:sz w:val="24"/>
                <w:szCs w:val="24"/>
                <w:highlight w:val="none"/>
                <w:lang w:eastAsia="zh-CN"/>
              </w:rPr>
              <w:t>。</w:t>
            </w:r>
          </w:p>
          <w:p w14:paraId="5E5DC072">
            <w:pPr>
              <w:pStyle w:val="316"/>
              <w:keepNext w:val="0"/>
              <w:keepLines w:val="0"/>
              <w:pageBreakBefore w:val="0"/>
              <w:widowControl w:val="0"/>
              <w:kinsoku/>
              <w:wordWrap/>
              <w:overflowPunct/>
              <w:topLinePunct w:val="0"/>
              <w:autoSpaceDE/>
              <w:autoSpaceDN/>
              <w:bidi w:val="0"/>
              <w:adjustRightInd/>
              <w:snapToGrid/>
              <w:spacing w:line="360" w:lineRule="auto"/>
              <w:ind w:firstLine="508"/>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lang w:val="en-US" w:eastAsia="zh-CN"/>
              </w:rPr>
              <w:t>目前变电站突发环境事件应急预案正在编制中，编制完成后按要求到相关部门进行备案，运营过程加强管理和应急演练等，</w:t>
            </w:r>
            <w:r>
              <w:rPr>
                <w:rFonts w:hint="default" w:ascii="Times New Roman" w:hAnsi="Times New Roman" w:eastAsia="宋体" w:cs="Times New Roman"/>
                <w:color w:val="auto"/>
                <w:sz w:val="24"/>
                <w:szCs w:val="24"/>
                <w:highlight w:val="none"/>
                <w:lang w:bidi="ar"/>
              </w:rPr>
              <w:t>一旦发生事故立即启动应急预案。</w:t>
            </w:r>
          </w:p>
        </w:tc>
      </w:tr>
      <w:tr w14:paraId="7E11C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tcMar>
              <w:left w:w="28" w:type="dxa"/>
              <w:right w:w="28" w:type="dxa"/>
            </w:tcMar>
            <w:vAlign w:val="center"/>
          </w:tcPr>
          <w:p w14:paraId="38FA023F">
            <w:pPr>
              <w:adjustRightInd w:val="0"/>
              <w:jc w:val="center"/>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z w:val="24"/>
                <w:highlight w:val="none"/>
              </w:rPr>
              <w:t>其他</w:t>
            </w:r>
          </w:p>
        </w:tc>
        <w:tc>
          <w:tcPr>
            <w:tcW w:w="4614" w:type="pct"/>
            <w:vAlign w:val="center"/>
          </w:tcPr>
          <w:p w14:paraId="3EFC6F6B">
            <w:pPr>
              <w:pStyle w:val="2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113" w:rightChars="0" w:firstLine="48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bookmarkStart w:id="226" w:name="_Toc7767"/>
            <w:bookmarkStart w:id="227" w:name="_Toc26769"/>
            <w:bookmarkStart w:id="228" w:name="_Toc12742"/>
            <w:bookmarkStart w:id="229" w:name="_Toc3299"/>
            <w:r>
              <w:rPr>
                <w:rFonts w:hint="default" w:ascii="Times New Roman" w:hAnsi="Times New Roman" w:eastAsia="宋体" w:cs="Times New Roman"/>
                <w:b w:val="0"/>
                <w:bCs w:val="0"/>
                <w:color w:val="auto"/>
                <w:kern w:val="2"/>
                <w:sz w:val="24"/>
                <w:szCs w:val="24"/>
                <w:highlight w:val="none"/>
                <w:lang w:val="en-US" w:eastAsia="zh-CN" w:bidi="ar-SA"/>
              </w:rPr>
              <w:t>加强运营期管理，加强运营期设备的检查和维护，使之保持良好的运行状态；发现异常或事故及时检修，防止由于故障运行产生的环境影响。</w:t>
            </w:r>
            <w:bookmarkEnd w:id="226"/>
            <w:bookmarkEnd w:id="227"/>
            <w:bookmarkEnd w:id="228"/>
            <w:bookmarkEnd w:id="229"/>
          </w:p>
        </w:tc>
      </w:tr>
      <w:tr w14:paraId="276A9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14:paraId="1C371425">
            <w:pPr>
              <w:adjustRightInd w:val="0"/>
              <w:jc w:val="center"/>
              <w:rPr>
                <w:rFonts w:hint="default" w:ascii="Times New Roman" w:hAnsi="Times New Roman" w:eastAsia="宋体" w:cs="Times New Roman"/>
                <w:bCs/>
                <w:color w:val="auto"/>
                <w:sz w:val="24"/>
                <w:highlight w:val="none"/>
              </w:rPr>
            </w:pPr>
          </w:p>
          <w:p w14:paraId="22F7F55A">
            <w:pPr>
              <w:adjustRightInd w:val="0"/>
              <w:spacing w:line="360" w:lineRule="auto"/>
              <w:jc w:val="center"/>
              <w:rPr>
                <w:rFonts w:hint="default" w:ascii="Times New Roman" w:hAnsi="Times New Roman" w:eastAsia="宋体" w:cs="Times New Roman"/>
                <w:b/>
                <w:bCs w:val="0"/>
                <w:color w:val="auto"/>
                <w:sz w:val="24"/>
                <w:highlight w:val="none"/>
              </w:rPr>
            </w:pPr>
          </w:p>
          <w:p w14:paraId="79DDA0A7">
            <w:pPr>
              <w:adjustRightInd w:val="0"/>
              <w:spacing w:line="360" w:lineRule="auto"/>
              <w:jc w:val="center"/>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
                <w:bCs w:val="0"/>
                <w:color w:val="auto"/>
                <w:sz w:val="24"/>
                <w:highlight w:val="none"/>
              </w:rPr>
              <w:t>环保投资</w:t>
            </w:r>
          </w:p>
        </w:tc>
        <w:tc>
          <w:tcPr>
            <w:tcW w:w="4614" w:type="pct"/>
          </w:tcPr>
          <w:p w14:paraId="286E1B10">
            <w:pPr>
              <w:adjustRightInd w:val="0"/>
              <w:spacing w:line="360" w:lineRule="auto"/>
              <w:ind w:firstLine="480" w:firstLineChars="20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Cs/>
                <w:color w:val="auto"/>
                <w:sz w:val="24"/>
                <w:highlight w:val="none"/>
              </w:rPr>
              <w:t>本项目总投资为</w:t>
            </w:r>
            <w:r>
              <w:rPr>
                <w:rFonts w:hint="default" w:ascii="Times New Roman" w:hAnsi="Times New Roman" w:eastAsia="宋体" w:cs="Times New Roman"/>
                <w:color w:val="auto"/>
                <w:sz w:val="24"/>
                <w:szCs w:val="24"/>
                <w:highlight w:val="none"/>
                <w:lang w:val="en-US" w:eastAsia="zh-CN"/>
              </w:rPr>
              <w:t>1379</w:t>
            </w:r>
            <w:r>
              <w:rPr>
                <w:rFonts w:hint="default" w:ascii="Times New Roman" w:hAnsi="Times New Roman" w:eastAsia="宋体" w:cs="Times New Roman"/>
                <w:bCs/>
                <w:color w:val="auto"/>
                <w:sz w:val="24"/>
                <w:highlight w:val="none"/>
              </w:rPr>
              <w:t>万元，其中</w:t>
            </w:r>
            <w:r>
              <w:rPr>
                <w:rFonts w:hint="default" w:ascii="Times New Roman" w:hAnsi="Times New Roman" w:eastAsia="宋体" w:cs="Times New Roman"/>
                <w:bCs/>
                <w:color w:val="auto"/>
                <w:sz w:val="24"/>
                <w:szCs w:val="24"/>
                <w:highlight w:val="none"/>
              </w:rPr>
              <w:t>环保投资共计</w:t>
            </w:r>
            <w:r>
              <w:rPr>
                <w:rFonts w:hint="default" w:ascii="Times New Roman" w:hAnsi="Times New Roman" w:eastAsia="宋体" w:cs="Times New Roman"/>
                <w:bCs/>
                <w:color w:val="auto"/>
                <w:sz w:val="24"/>
                <w:szCs w:val="24"/>
                <w:highlight w:val="none"/>
                <w:lang w:val="en-US" w:eastAsia="zh-CN"/>
              </w:rPr>
              <w:t>52.5</w:t>
            </w:r>
            <w:r>
              <w:rPr>
                <w:rFonts w:hint="default" w:ascii="Times New Roman" w:hAnsi="Times New Roman" w:eastAsia="宋体" w:cs="Times New Roman"/>
                <w:bCs/>
                <w:color w:val="auto"/>
                <w:sz w:val="24"/>
                <w:szCs w:val="24"/>
                <w:highlight w:val="none"/>
              </w:rPr>
              <w:t>万元，占工程总投资的</w:t>
            </w:r>
            <w:r>
              <w:rPr>
                <w:rFonts w:hint="eastAsia" w:cs="Times New Roman"/>
                <w:bCs/>
                <w:color w:val="auto"/>
                <w:sz w:val="24"/>
                <w:szCs w:val="24"/>
                <w:highlight w:val="none"/>
                <w:lang w:val="en-US" w:eastAsia="zh-CN"/>
              </w:rPr>
              <w:t>3.81</w:t>
            </w:r>
            <w:r>
              <w:rPr>
                <w:rFonts w:hint="default" w:ascii="Times New Roman" w:hAnsi="Times New Roman" w:eastAsia="宋体" w:cs="Times New Roman"/>
                <w:bCs/>
                <w:color w:val="auto"/>
                <w:sz w:val="24"/>
                <w:szCs w:val="24"/>
                <w:highlight w:val="none"/>
              </w:rPr>
              <w:t>%。本项目环保投资情况见表5-</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w:t>
            </w:r>
          </w:p>
          <w:p w14:paraId="52901257">
            <w:pPr>
              <w:adjustRightInd w:val="0"/>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表5-</w:t>
            </w:r>
            <w:r>
              <w:rPr>
                <w:rFonts w:hint="default" w:ascii="Times New Roman" w:hAnsi="Times New Roman" w:eastAsia="宋体" w:cs="Times New Roman"/>
                <w:b/>
                <w:color w:val="auto"/>
                <w:sz w:val="24"/>
                <w:szCs w:val="24"/>
                <w:highlight w:val="none"/>
                <w:lang w:val="en-US" w:eastAsia="zh-CN"/>
              </w:rPr>
              <w:t xml:space="preserve">1  </w:t>
            </w:r>
            <w:r>
              <w:rPr>
                <w:rFonts w:hint="default" w:ascii="Times New Roman" w:hAnsi="Times New Roman" w:eastAsia="宋体" w:cs="Times New Roman"/>
                <w:b/>
                <w:color w:val="auto"/>
                <w:sz w:val="24"/>
                <w:szCs w:val="24"/>
                <w:highlight w:val="none"/>
              </w:rPr>
              <w:t>项目环保投资</w:t>
            </w:r>
            <w:r>
              <w:rPr>
                <w:rFonts w:hint="default" w:ascii="Times New Roman" w:hAnsi="Times New Roman" w:eastAsia="宋体" w:cs="Times New Roman"/>
                <w:b/>
                <w:color w:val="auto"/>
                <w:sz w:val="24"/>
                <w:szCs w:val="24"/>
                <w:highlight w:val="none"/>
                <w:lang w:val="en-US" w:eastAsia="zh-CN"/>
              </w:rPr>
              <w:t>一览表  单位：万元</w:t>
            </w:r>
          </w:p>
          <w:tbl>
            <w:tblPr>
              <w:tblStyle w:val="5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4"/>
              <w:gridCol w:w="457"/>
              <w:gridCol w:w="1203"/>
              <w:gridCol w:w="4607"/>
              <w:gridCol w:w="723"/>
              <w:gridCol w:w="723"/>
            </w:tblGrid>
            <w:tr w14:paraId="55BB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7" w:hRule="atLeast"/>
                <w:jc w:val="center"/>
              </w:trPr>
              <w:tc>
                <w:tcPr>
                  <w:tcW w:w="201" w:type="pct"/>
                  <w:vAlign w:val="center"/>
                </w:tcPr>
                <w:p w14:paraId="5C98C60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1032" w:type="pct"/>
                  <w:gridSpan w:val="2"/>
                  <w:vAlign w:val="center"/>
                </w:tcPr>
                <w:p w14:paraId="26B307CE">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环保措施名称</w:t>
                  </w:r>
                </w:p>
              </w:tc>
              <w:tc>
                <w:tcPr>
                  <w:tcW w:w="2866" w:type="pct"/>
                  <w:vAlign w:val="center"/>
                </w:tcPr>
                <w:p w14:paraId="7CF1FB1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建设内容及规模</w:t>
                  </w:r>
                </w:p>
              </w:tc>
              <w:tc>
                <w:tcPr>
                  <w:tcW w:w="449" w:type="pct"/>
                  <w:vAlign w:val="center"/>
                </w:tcPr>
                <w:p w14:paraId="5DD100A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投资金额</w:t>
                  </w:r>
                </w:p>
              </w:tc>
              <w:tc>
                <w:tcPr>
                  <w:tcW w:w="449" w:type="pct"/>
                  <w:vAlign w:val="center"/>
                </w:tcPr>
                <w:p w14:paraId="35FA9CB5">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备注</w:t>
                  </w:r>
                </w:p>
              </w:tc>
            </w:tr>
            <w:tr w14:paraId="07B4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68D311D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284" w:type="pct"/>
                  <w:vMerge w:val="restart"/>
                  <w:vAlign w:val="center"/>
                </w:tcPr>
                <w:p w14:paraId="40C02B13">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废水</w:t>
                  </w:r>
                </w:p>
              </w:tc>
              <w:tc>
                <w:tcPr>
                  <w:tcW w:w="748" w:type="pct"/>
                  <w:vAlign w:val="center"/>
                </w:tcPr>
                <w:p w14:paraId="126110AB">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雨水沟</w:t>
                  </w:r>
                </w:p>
              </w:tc>
              <w:tc>
                <w:tcPr>
                  <w:tcW w:w="2866" w:type="pct"/>
                  <w:vAlign w:val="center"/>
                </w:tcPr>
                <w:p w14:paraId="01AAC33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pacing w:val="0"/>
                      <w:sz w:val="21"/>
                      <w:szCs w:val="21"/>
                      <w:highlight w:val="none"/>
                      <w:lang w:val="en-US" w:eastAsia="zh-CN"/>
                    </w:rPr>
                    <w:t>厂区内设置雨水沟，设置雨污分流系统</w:t>
                  </w:r>
                  <w:r>
                    <w:rPr>
                      <w:rFonts w:hint="default" w:ascii="Times New Roman" w:hAnsi="Times New Roman" w:eastAsia="宋体" w:cs="Times New Roman"/>
                      <w:color w:val="auto"/>
                      <w:spacing w:val="0"/>
                      <w:sz w:val="21"/>
                      <w:szCs w:val="21"/>
                      <w:highlight w:val="none"/>
                    </w:rPr>
                    <w:t>。</w:t>
                  </w:r>
                </w:p>
              </w:tc>
              <w:tc>
                <w:tcPr>
                  <w:tcW w:w="449" w:type="pct"/>
                  <w:vAlign w:val="center"/>
                </w:tcPr>
                <w:p w14:paraId="41610FF3">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449" w:type="pct"/>
                  <w:vAlign w:val="center"/>
                </w:tcPr>
                <w:p w14:paraId="7C786571">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253A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1E0EA59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284" w:type="pct"/>
                  <w:vMerge w:val="continue"/>
                  <w:vAlign w:val="center"/>
                </w:tcPr>
                <w:p w14:paraId="36DDC19F">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748" w:type="pct"/>
                  <w:vAlign w:val="center"/>
                </w:tcPr>
                <w:p w14:paraId="39AF15BB">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隔油池</w:t>
                  </w:r>
                </w:p>
              </w:tc>
              <w:tc>
                <w:tcPr>
                  <w:tcW w:w="2866" w:type="pct"/>
                  <w:vAlign w:val="center"/>
                </w:tcPr>
                <w:p w14:paraId="135F4677">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rPr>
                    <w:t>隔油池</w:t>
                  </w:r>
                  <w:r>
                    <w:rPr>
                      <w:rFonts w:hint="default" w:ascii="Times New Roman" w:hAnsi="Times New Roman" w:eastAsia="宋体" w:cs="Times New Roman"/>
                      <w:color w:val="auto"/>
                      <w:sz w:val="21"/>
                      <w:szCs w:val="21"/>
                      <w:highlight w:val="none"/>
                      <w:lang w:val="en-US" w:eastAsia="zh-CN"/>
                    </w:rPr>
                    <w:t>1个，容积为</w:t>
                  </w:r>
                  <w:r>
                    <w:rPr>
                      <w:rFonts w:hint="default" w:ascii="Times New Roman" w:hAnsi="Times New Roman" w:eastAsia="宋体" w:cs="Times New Roman"/>
                      <w:color w:val="auto"/>
                      <w:sz w:val="21"/>
                      <w:szCs w:val="21"/>
                      <w:highlight w:val="none"/>
                    </w:rPr>
                    <w:t>0.5m³</w:t>
                  </w:r>
                </w:p>
              </w:tc>
              <w:tc>
                <w:tcPr>
                  <w:tcW w:w="449" w:type="pct"/>
                  <w:vAlign w:val="center"/>
                </w:tcPr>
                <w:p w14:paraId="29EBE4A9">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0.5</w:t>
                  </w:r>
                </w:p>
              </w:tc>
              <w:tc>
                <w:tcPr>
                  <w:tcW w:w="449" w:type="pct"/>
                  <w:vAlign w:val="center"/>
                </w:tcPr>
                <w:p w14:paraId="53CF9155">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2A82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378F024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284" w:type="pct"/>
                  <w:vMerge w:val="continue"/>
                  <w:vAlign w:val="center"/>
                </w:tcPr>
                <w:p w14:paraId="63B80EB8">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748" w:type="pct"/>
                  <w:vAlign w:val="center"/>
                </w:tcPr>
                <w:p w14:paraId="27CD2D2E">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化粪池</w:t>
                  </w:r>
                </w:p>
              </w:tc>
              <w:tc>
                <w:tcPr>
                  <w:tcW w:w="2866" w:type="pct"/>
                  <w:vAlign w:val="center"/>
                </w:tcPr>
                <w:p w14:paraId="11E34557">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埋地</w:t>
                  </w:r>
                  <w:r>
                    <w:rPr>
                      <w:rFonts w:hint="default" w:ascii="Times New Roman" w:hAnsi="Times New Roman" w:eastAsia="宋体" w:cs="Times New Roman"/>
                      <w:color w:val="auto"/>
                      <w:sz w:val="21"/>
                      <w:szCs w:val="21"/>
                      <w:highlight w:val="none"/>
                    </w:rPr>
                    <w:t>化粪池1个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容积为</w:t>
                  </w:r>
                  <w:r>
                    <w:rPr>
                      <w:rFonts w:hint="default" w:ascii="Times New Roman" w:hAnsi="Times New Roman" w:eastAsia="宋体" w:cs="Times New Roman"/>
                      <w:color w:val="auto"/>
                      <w:sz w:val="21"/>
                      <w:szCs w:val="21"/>
                      <w:highlight w:val="none"/>
                    </w:rPr>
                    <w:t>2m³</w:t>
                  </w:r>
                </w:p>
              </w:tc>
              <w:tc>
                <w:tcPr>
                  <w:tcW w:w="449" w:type="pct"/>
                  <w:vAlign w:val="center"/>
                </w:tcPr>
                <w:p w14:paraId="491BA2F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1.5</w:t>
                  </w:r>
                </w:p>
              </w:tc>
              <w:tc>
                <w:tcPr>
                  <w:tcW w:w="449" w:type="pct"/>
                  <w:vAlign w:val="center"/>
                </w:tcPr>
                <w:p w14:paraId="3E954844">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435F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7" w:hRule="atLeast"/>
                <w:jc w:val="center"/>
              </w:trPr>
              <w:tc>
                <w:tcPr>
                  <w:tcW w:w="201" w:type="pct"/>
                  <w:vAlign w:val="center"/>
                </w:tcPr>
                <w:p w14:paraId="0270B9D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284" w:type="pct"/>
                  <w:vMerge w:val="continue"/>
                  <w:vAlign w:val="center"/>
                </w:tcPr>
                <w:p w14:paraId="2DA728D8">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748" w:type="pct"/>
                  <w:vAlign w:val="center"/>
                </w:tcPr>
                <w:p w14:paraId="01C1941B">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一体化污水处理站</w:t>
                  </w:r>
                </w:p>
              </w:tc>
              <w:tc>
                <w:tcPr>
                  <w:tcW w:w="2866" w:type="pct"/>
                  <w:vAlign w:val="center"/>
                </w:tcPr>
                <w:p w14:paraId="3432641D">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地埋式一体化污水处理站</w:t>
                  </w:r>
                  <w:r>
                    <w:rPr>
                      <w:rFonts w:hint="default" w:ascii="Times New Roman" w:hAnsi="Times New Roman" w:eastAsia="宋体" w:cs="Times New Roman"/>
                      <w:color w:val="auto"/>
                      <w:sz w:val="21"/>
                      <w:szCs w:val="21"/>
                      <w:highlight w:val="none"/>
                      <w:lang w:val="en-US" w:eastAsia="zh-CN"/>
                    </w:rPr>
                    <w:t>1套，处理规模2m³/d</w:t>
                  </w:r>
                </w:p>
              </w:tc>
              <w:tc>
                <w:tcPr>
                  <w:tcW w:w="449" w:type="pct"/>
                  <w:vAlign w:val="center"/>
                </w:tcPr>
                <w:p w14:paraId="5851CCA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12.0</w:t>
                  </w:r>
                </w:p>
              </w:tc>
              <w:tc>
                <w:tcPr>
                  <w:tcW w:w="449" w:type="pct"/>
                  <w:vAlign w:val="center"/>
                </w:tcPr>
                <w:p w14:paraId="4418DB12">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2AA1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18CA777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284" w:type="pct"/>
                  <w:vMerge w:val="continue"/>
                  <w:vAlign w:val="center"/>
                </w:tcPr>
                <w:p w14:paraId="2D2FF47C">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48" w:type="pct"/>
                  <w:vAlign w:val="center"/>
                </w:tcPr>
                <w:p w14:paraId="634B9B68">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清水暂存池</w:t>
                  </w:r>
                </w:p>
              </w:tc>
              <w:tc>
                <w:tcPr>
                  <w:tcW w:w="2866" w:type="pct"/>
                  <w:vAlign w:val="center"/>
                </w:tcPr>
                <w:p w14:paraId="126EB813">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清水暂存池</w:t>
                  </w:r>
                  <w:r>
                    <w:rPr>
                      <w:rFonts w:hint="default" w:ascii="Times New Roman" w:hAnsi="Times New Roman" w:eastAsia="宋体" w:cs="Times New Roman"/>
                      <w:color w:val="auto"/>
                      <w:sz w:val="21"/>
                      <w:szCs w:val="21"/>
                      <w:highlight w:val="none"/>
                      <w:lang w:val="en-US" w:eastAsia="zh-CN"/>
                    </w:rPr>
                    <w:t>1个，容积为25.74</w:t>
                  </w:r>
                  <w:r>
                    <w:rPr>
                      <w:rFonts w:hint="default" w:ascii="Times New Roman" w:hAnsi="Times New Roman" w:eastAsia="宋体" w:cs="Times New Roman"/>
                      <w:color w:val="auto"/>
                      <w:sz w:val="21"/>
                      <w:szCs w:val="21"/>
                      <w:highlight w:val="none"/>
                    </w:rPr>
                    <w:t>m³</w:t>
                  </w:r>
                </w:p>
              </w:tc>
              <w:tc>
                <w:tcPr>
                  <w:tcW w:w="449" w:type="pct"/>
                  <w:vAlign w:val="center"/>
                </w:tcPr>
                <w:p w14:paraId="7E65D43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5.0</w:t>
                  </w:r>
                </w:p>
              </w:tc>
              <w:tc>
                <w:tcPr>
                  <w:tcW w:w="449" w:type="pct"/>
                  <w:vAlign w:val="center"/>
                </w:tcPr>
                <w:p w14:paraId="10B0EAE5">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2D98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2" w:hRule="atLeast"/>
                <w:jc w:val="center"/>
              </w:trPr>
              <w:tc>
                <w:tcPr>
                  <w:tcW w:w="201" w:type="pct"/>
                  <w:vAlign w:val="center"/>
                </w:tcPr>
                <w:p w14:paraId="4D24AE1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284" w:type="pct"/>
                  <w:vMerge w:val="restart"/>
                  <w:vAlign w:val="center"/>
                </w:tcPr>
                <w:p w14:paraId="12426831">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固废</w:t>
                  </w:r>
                </w:p>
              </w:tc>
              <w:tc>
                <w:tcPr>
                  <w:tcW w:w="748" w:type="pct"/>
                  <w:vAlign w:val="center"/>
                </w:tcPr>
                <w:p w14:paraId="5BA390E1">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贮油设施</w:t>
                  </w:r>
                </w:p>
              </w:tc>
              <w:tc>
                <w:tcPr>
                  <w:tcW w:w="2866" w:type="pct"/>
                  <w:vAlign w:val="center"/>
                </w:tcPr>
                <w:p w14:paraId="618F805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升压站已建主</w:t>
                  </w:r>
                  <w:r>
                    <w:rPr>
                      <w:rFonts w:hint="default" w:ascii="Times New Roman" w:hAnsi="Times New Roman" w:eastAsia="宋体" w:cs="Times New Roman"/>
                      <w:color w:val="auto"/>
                      <w:sz w:val="21"/>
                      <w:szCs w:val="21"/>
                      <w:highlight w:val="none"/>
                    </w:rPr>
                    <w:t>变</w:t>
                  </w:r>
                  <w:r>
                    <w:rPr>
                      <w:rFonts w:hint="default" w:ascii="Times New Roman" w:hAnsi="Times New Roman" w:eastAsia="宋体" w:cs="Times New Roman"/>
                      <w:color w:val="auto"/>
                      <w:spacing w:val="0"/>
                      <w:sz w:val="21"/>
                      <w:szCs w:val="21"/>
                      <w:highlight w:val="none"/>
                    </w:rPr>
                    <w:t>下方设置</w:t>
                  </w:r>
                  <w:r>
                    <w:rPr>
                      <w:rFonts w:hint="default" w:ascii="Times New Roman" w:hAnsi="Times New Roman" w:eastAsia="宋体" w:cs="Times New Roman"/>
                      <w:color w:val="auto"/>
                      <w:spacing w:val="0"/>
                      <w:sz w:val="21"/>
                      <w:szCs w:val="21"/>
                      <w:highlight w:val="none"/>
                      <w:lang w:val="en-US" w:eastAsia="zh-CN"/>
                    </w:rPr>
                    <w:t>有</w:t>
                  </w:r>
                  <w:r>
                    <w:rPr>
                      <w:rFonts w:hint="default" w:ascii="Times New Roman" w:hAnsi="Times New Roman" w:eastAsia="宋体" w:cs="Times New Roman"/>
                      <w:color w:val="auto"/>
                      <w:spacing w:val="0"/>
                      <w:sz w:val="21"/>
                      <w:szCs w:val="21"/>
                      <w:highlight w:val="none"/>
                    </w:rPr>
                    <w:t>集油坑，</w:t>
                  </w:r>
                  <w:r>
                    <w:rPr>
                      <w:rFonts w:hint="default" w:ascii="Times New Roman" w:hAnsi="Times New Roman" w:eastAsia="宋体" w:cs="Times New Roman"/>
                      <w:color w:val="auto"/>
                      <w:spacing w:val="0"/>
                      <w:sz w:val="21"/>
                      <w:szCs w:val="21"/>
                      <w:highlight w:val="none"/>
                      <w:lang w:val="en-US" w:eastAsia="zh-CN"/>
                    </w:rPr>
                    <w:t>已建</w:t>
                  </w:r>
                  <w:r>
                    <w:rPr>
                      <w:rFonts w:hint="default" w:ascii="Times New Roman" w:hAnsi="Times New Roman" w:eastAsia="宋体" w:cs="Times New Roman"/>
                      <w:color w:val="auto"/>
                      <w:sz w:val="21"/>
                      <w:szCs w:val="21"/>
                      <w:highlight w:val="none"/>
                    </w:rPr>
                    <w:t>集油坑有效容积为</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已设置1个容积为52.8m³的事故油池，集油坑及事故油池之间采用排油管道相连，集油坑及事故油池进行防渗处理。</w:t>
                  </w:r>
                  <w:r>
                    <w:rPr>
                      <w:rFonts w:hint="default" w:ascii="Times New Roman" w:hAnsi="Times New Roman" w:eastAsia="宋体" w:cs="Times New Roman"/>
                      <w:color w:val="auto"/>
                      <w:spacing w:val="0"/>
                      <w:sz w:val="21"/>
                      <w:szCs w:val="21"/>
                      <w:highlight w:val="none"/>
                    </w:rPr>
                    <w:t>若</w:t>
                  </w:r>
                  <w:r>
                    <w:rPr>
                      <w:rFonts w:hint="default" w:ascii="Times New Roman" w:hAnsi="Times New Roman" w:eastAsia="宋体" w:cs="Times New Roman"/>
                      <w:color w:val="auto"/>
                      <w:sz w:val="21"/>
                      <w:szCs w:val="21"/>
                      <w:highlight w:val="none"/>
                      <w:lang w:eastAsia="zh-CN"/>
                    </w:rPr>
                    <w:t>主变压器</w:t>
                  </w:r>
                  <w:r>
                    <w:rPr>
                      <w:rFonts w:hint="default" w:ascii="Times New Roman" w:hAnsi="Times New Roman" w:eastAsia="宋体" w:cs="Times New Roman"/>
                      <w:color w:val="auto"/>
                      <w:spacing w:val="0"/>
                      <w:sz w:val="21"/>
                      <w:szCs w:val="21"/>
                      <w:highlight w:val="none"/>
                    </w:rPr>
                    <w:t>发生事故，事故油进入变压器下方集油坑，经排油管道进入事故油池</w:t>
                  </w:r>
                  <w:r>
                    <w:rPr>
                      <w:rFonts w:hint="default" w:ascii="Times New Roman" w:hAnsi="Times New Roman" w:eastAsia="宋体" w:cs="Times New Roman"/>
                      <w:color w:val="auto"/>
                      <w:spacing w:val="0"/>
                      <w:sz w:val="21"/>
                      <w:szCs w:val="21"/>
                      <w:highlight w:val="none"/>
                      <w:lang w:val="en-US" w:eastAsia="zh-CN"/>
                    </w:rPr>
                    <w:t>收集</w:t>
                  </w:r>
                  <w:r>
                    <w:rPr>
                      <w:rFonts w:hint="default" w:ascii="Times New Roman" w:hAnsi="Times New Roman" w:eastAsia="宋体" w:cs="Times New Roman"/>
                      <w:color w:val="auto"/>
                      <w:spacing w:val="0"/>
                      <w:sz w:val="21"/>
                      <w:szCs w:val="21"/>
                      <w:highlight w:val="none"/>
                    </w:rPr>
                    <w:t>后</w:t>
                  </w:r>
                  <w:r>
                    <w:rPr>
                      <w:rFonts w:hint="default" w:ascii="Times New Roman" w:hAnsi="Times New Roman" w:eastAsia="宋体" w:cs="Times New Roman"/>
                      <w:color w:val="auto"/>
                      <w:spacing w:val="0"/>
                      <w:sz w:val="21"/>
                      <w:szCs w:val="21"/>
                      <w:highlight w:val="none"/>
                      <w:lang w:val="en-US" w:eastAsia="zh-CN"/>
                    </w:rPr>
                    <w:t>可</w:t>
                  </w:r>
                  <w:r>
                    <w:rPr>
                      <w:rFonts w:hint="default" w:ascii="Times New Roman" w:hAnsi="Times New Roman" w:eastAsia="宋体" w:cs="Times New Roman"/>
                      <w:color w:val="auto"/>
                      <w:spacing w:val="0"/>
                      <w:sz w:val="21"/>
                      <w:szCs w:val="21"/>
                      <w:highlight w:val="none"/>
                    </w:rPr>
                    <w:t>回用</w:t>
                  </w:r>
                  <w:r>
                    <w:rPr>
                      <w:rFonts w:hint="default" w:ascii="Times New Roman" w:hAnsi="Times New Roman" w:eastAsia="宋体" w:cs="Times New Roman"/>
                      <w:color w:val="auto"/>
                      <w:spacing w:val="0"/>
                      <w:sz w:val="21"/>
                      <w:szCs w:val="21"/>
                      <w:highlight w:val="none"/>
                      <w:lang w:val="en-US" w:eastAsia="zh-CN"/>
                    </w:rPr>
                    <w:t>部分充分</w:t>
                  </w:r>
                  <w:r>
                    <w:rPr>
                      <w:rFonts w:hint="default" w:ascii="Times New Roman" w:hAnsi="Times New Roman" w:eastAsia="宋体" w:cs="Times New Roman"/>
                      <w:color w:val="auto"/>
                      <w:spacing w:val="0"/>
                      <w:sz w:val="21"/>
                      <w:szCs w:val="21"/>
                      <w:highlight w:val="none"/>
                    </w:rPr>
                    <w:t>回用，不能回用的委托</w:t>
                  </w:r>
                  <w:r>
                    <w:rPr>
                      <w:rFonts w:hint="default" w:ascii="Times New Roman" w:hAnsi="Times New Roman" w:eastAsia="宋体" w:cs="Times New Roman"/>
                      <w:color w:val="auto"/>
                      <w:spacing w:val="0"/>
                      <w:sz w:val="21"/>
                      <w:szCs w:val="21"/>
                      <w:highlight w:val="none"/>
                      <w:lang w:eastAsia="zh-CN"/>
                    </w:rPr>
                    <w:t>有资质单位处置</w:t>
                  </w:r>
                  <w:r>
                    <w:rPr>
                      <w:rFonts w:hint="default" w:ascii="Times New Roman" w:hAnsi="Times New Roman" w:eastAsia="宋体" w:cs="Times New Roman"/>
                      <w:color w:val="auto"/>
                      <w:spacing w:val="0"/>
                      <w:sz w:val="21"/>
                      <w:szCs w:val="21"/>
                      <w:highlight w:val="none"/>
                    </w:rPr>
                    <w:t>。</w:t>
                  </w:r>
                </w:p>
              </w:tc>
              <w:tc>
                <w:tcPr>
                  <w:tcW w:w="449" w:type="pct"/>
                  <w:vAlign w:val="center"/>
                </w:tcPr>
                <w:p w14:paraId="05F1290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449" w:type="pct"/>
                  <w:vAlign w:val="center"/>
                </w:tcPr>
                <w:p w14:paraId="758F2777">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44E7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7" w:hRule="atLeast"/>
                <w:jc w:val="center"/>
              </w:trPr>
              <w:tc>
                <w:tcPr>
                  <w:tcW w:w="201" w:type="pct"/>
                  <w:vAlign w:val="center"/>
                </w:tcPr>
                <w:p w14:paraId="0FC0F92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w:t>
                  </w:r>
                </w:p>
              </w:tc>
              <w:tc>
                <w:tcPr>
                  <w:tcW w:w="284" w:type="pct"/>
                  <w:vMerge w:val="continue"/>
                  <w:vAlign w:val="center"/>
                </w:tcPr>
                <w:p w14:paraId="2FC37619">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748" w:type="pct"/>
                  <w:vAlign w:val="center"/>
                </w:tcPr>
                <w:p w14:paraId="2703099B">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危废暂存间</w:t>
                  </w:r>
                </w:p>
              </w:tc>
              <w:tc>
                <w:tcPr>
                  <w:tcW w:w="2866" w:type="pct"/>
                  <w:vAlign w:val="center"/>
                </w:tcPr>
                <w:p w14:paraId="510365D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危废暂存间1间，占地面积39.32m</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snapToGrid w:val="0"/>
                      <w:color w:val="auto"/>
                      <w:kern w:val="0"/>
                      <w:sz w:val="21"/>
                      <w:szCs w:val="21"/>
                      <w:highlight w:val="none"/>
                      <w:lang w:val="en-US" w:eastAsia="zh-CN"/>
                    </w:rPr>
                    <w:t>危废暂存间</w:t>
                  </w:r>
                  <w:r>
                    <w:rPr>
                      <w:rFonts w:hint="default" w:ascii="Times New Roman" w:hAnsi="Times New Roman" w:eastAsia="宋体" w:cs="Times New Roman"/>
                      <w:color w:val="auto"/>
                      <w:sz w:val="21"/>
                      <w:szCs w:val="21"/>
                      <w:highlight w:val="none"/>
                      <w:lang w:val="en-US" w:eastAsia="zh-CN"/>
                    </w:rPr>
                    <w:t>已进行防渗处理，设置有标志、标识牌</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449" w:type="pct"/>
                  <w:vAlign w:val="center"/>
                </w:tcPr>
                <w:p w14:paraId="6C1B970B">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6.0</w:t>
                  </w:r>
                </w:p>
              </w:tc>
              <w:tc>
                <w:tcPr>
                  <w:tcW w:w="449" w:type="pct"/>
                  <w:vAlign w:val="center"/>
                </w:tcPr>
                <w:p w14:paraId="5868220A">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68A0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6BC8B5F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w:t>
                  </w:r>
                </w:p>
              </w:tc>
              <w:tc>
                <w:tcPr>
                  <w:tcW w:w="284" w:type="pct"/>
                  <w:vMerge w:val="continue"/>
                  <w:vAlign w:val="center"/>
                </w:tcPr>
                <w:p w14:paraId="4692DA3C">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748" w:type="pct"/>
                  <w:vAlign w:val="center"/>
                </w:tcPr>
                <w:p w14:paraId="321DFE9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垃圾桶</w:t>
                  </w:r>
                </w:p>
              </w:tc>
              <w:tc>
                <w:tcPr>
                  <w:tcW w:w="2866" w:type="pct"/>
                  <w:vAlign w:val="center"/>
                </w:tcPr>
                <w:p w14:paraId="422E548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升压站设置有生活垃圾收集桶及垃圾收集箱</w:t>
                  </w:r>
                </w:p>
              </w:tc>
              <w:tc>
                <w:tcPr>
                  <w:tcW w:w="449" w:type="pct"/>
                  <w:vAlign w:val="center"/>
                </w:tcPr>
                <w:p w14:paraId="2B588A7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0.5</w:t>
                  </w:r>
                </w:p>
              </w:tc>
              <w:tc>
                <w:tcPr>
                  <w:tcW w:w="449" w:type="pct"/>
                  <w:vAlign w:val="center"/>
                </w:tcPr>
                <w:p w14:paraId="7D4D6657">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653E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32E6B9C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w:t>
                  </w:r>
                </w:p>
              </w:tc>
              <w:tc>
                <w:tcPr>
                  <w:tcW w:w="284" w:type="pct"/>
                  <w:vAlign w:val="center"/>
                </w:tcPr>
                <w:p w14:paraId="7A983E1A">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w:t>
                  </w:r>
                </w:p>
              </w:tc>
              <w:tc>
                <w:tcPr>
                  <w:tcW w:w="748" w:type="pct"/>
                  <w:vAlign w:val="center"/>
                </w:tcPr>
                <w:p w14:paraId="3AF22FF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食堂油烟机</w:t>
                  </w:r>
                </w:p>
              </w:tc>
              <w:tc>
                <w:tcPr>
                  <w:tcW w:w="2866" w:type="pct"/>
                  <w:vAlign w:val="center"/>
                </w:tcPr>
                <w:p w14:paraId="0827424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升压站厨房设置有油烟机1台及油烟管道</w:t>
                  </w:r>
                </w:p>
              </w:tc>
              <w:tc>
                <w:tcPr>
                  <w:tcW w:w="449" w:type="pct"/>
                  <w:vAlign w:val="center"/>
                </w:tcPr>
                <w:p w14:paraId="3E81E66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1.0</w:t>
                  </w:r>
                </w:p>
              </w:tc>
              <w:tc>
                <w:tcPr>
                  <w:tcW w:w="449" w:type="pct"/>
                  <w:vAlign w:val="center"/>
                </w:tcPr>
                <w:p w14:paraId="3936B461">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5B35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7230A55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1032" w:type="pct"/>
                  <w:gridSpan w:val="2"/>
                  <w:vAlign w:val="center"/>
                </w:tcPr>
                <w:p w14:paraId="160FF07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噪声治理措施</w:t>
                  </w:r>
                </w:p>
              </w:tc>
              <w:tc>
                <w:tcPr>
                  <w:tcW w:w="2866" w:type="pct"/>
                  <w:vAlign w:val="center"/>
                </w:tcPr>
                <w:p w14:paraId="0A8E8E6B">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color w:val="auto"/>
                      <w:sz w:val="21"/>
                      <w:szCs w:val="21"/>
                      <w:highlight w:val="none"/>
                    </w:rPr>
                    <w:t>低噪声设备、基础减振</w:t>
                  </w:r>
                </w:p>
              </w:tc>
              <w:tc>
                <w:tcPr>
                  <w:tcW w:w="449" w:type="pct"/>
                  <w:vAlign w:val="center"/>
                </w:tcPr>
                <w:p w14:paraId="22B98DA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2.0</w:t>
                  </w:r>
                </w:p>
              </w:tc>
              <w:tc>
                <w:tcPr>
                  <w:tcW w:w="449" w:type="pct"/>
                  <w:vAlign w:val="center"/>
                </w:tcPr>
                <w:p w14:paraId="0C7E2ADA">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color w:val="auto"/>
                      <w:sz w:val="21"/>
                      <w:szCs w:val="21"/>
                      <w:highlight w:val="none"/>
                      <w:lang w:val="en-US" w:eastAsia="zh-CN"/>
                    </w:rPr>
                    <w:t>已建成</w:t>
                  </w:r>
                </w:p>
              </w:tc>
            </w:tr>
            <w:tr w14:paraId="7693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2D35D00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w:t>
                  </w:r>
                </w:p>
              </w:tc>
              <w:tc>
                <w:tcPr>
                  <w:tcW w:w="1032" w:type="pct"/>
                  <w:gridSpan w:val="2"/>
                  <w:vAlign w:val="center"/>
                </w:tcPr>
                <w:p w14:paraId="1233F4B1">
                  <w:pPr>
                    <w:pStyle w:val="260"/>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电磁环境</w:t>
                  </w:r>
                </w:p>
              </w:tc>
              <w:tc>
                <w:tcPr>
                  <w:tcW w:w="2866" w:type="pct"/>
                  <w:vAlign w:val="center"/>
                </w:tcPr>
                <w:p w14:paraId="422FFF8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bCs/>
                      <w:color w:val="auto"/>
                      <w:sz w:val="21"/>
                      <w:szCs w:val="21"/>
                      <w:highlight w:val="none"/>
                    </w:rPr>
                    <w:t>站址周围粘贴、悬挂各种警告、防护标识。</w:t>
                  </w:r>
                </w:p>
              </w:tc>
              <w:tc>
                <w:tcPr>
                  <w:tcW w:w="449" w:type="pct"/>
                  <w:vAlign w:val="center"/>
                </w:tcPr>
                <w:p w14:paraId="249E237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449" w:type="pct"/>
                  <w:vAlign w:val="center"/>
                </w:tcPr>
                <w:p w14:paraId="1F7D3D7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05" w:leftChars="-50" w:right="-105" w:rightChars="-5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1FEE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61" w:hRule="atLeast"/>
                <w:jc w:val="center"/>
              </w:trPr>
              <w:tc>
                <w:tcPr>
                  <w:tcW w:w="201" w:type="pct"/>
                  <w:vAlign w:val="center"/>
                </w:tcPr>
                <w:p w14:paraId="53E9792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12</w:t>
                  </w:r>
                </w:p>
              </w:tc>
              <w:tc>
                <w:tcPr>
                  <w:tcW w:w="1032" w:type="pct"/>
                  <w:gridSpan w:val="2"/>
                  <w:vAlign w:val="center"/>
                </w:tcPr>
                <w:p w14:paraId="74EE20E3">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消防灭火系统</w:t>
                  </w:r>
                </w:p>
              </w:tc>
              <w:tc>
                <w:tcPr>
                  <w:tcW w:w="2866" w:type="pct"/>
                  <w:vAlign w:val="center"/>
                </w:tcPr>
                <w:p w14:paraId="3458F42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pacing w:val="0"/>
                      <w:sz w:val="21"/>
                      <w:szCs w:val="21"/>
                      <w:highlight w:val="none"/>
                    </w:rPr>
                    <w:t>消防灭火系统设计主要包括：站区设置一套独立的消防水系统，升压站区及预留储能区设置室外消火栓系统，综合楼设置内消火栓系统，同时各建筑物及主变压器、SVG装置附近等按规范配置手提式灭火器、推车灭火器、砂箱及消防铲等消防设施</w:t>
                  </w:r>
                  <w:r>
                    <w:rPr>
                      <w:rFonts w:hint="default" w:ascii="Times New Roman" w:hAnsi="Times New Roman" w:eastAsia="宋体" w:cs="Times New Roman"/>
                      <w:color w:val="auto"/>
                      <w:spacing w:val="0"/>
                      <w:sz w:val="21"/>
                      <w:szCs w:val="21"/>
                      <w:highlight w:val="none"/>
                      <w:lang w:eastAsia="zh-CN"/>
                    </w:rPr>
                    <w:t>。</w:t>
                  </w:r>
                </w:p>
              </w:tc>
              <w:tc>
                <w:tcPr>
                  <w:tcW w:w="449" w:type="pct"/>
                  <w:vAlign w:val="center"/>
                </w:tcPr>
                <w:p w14:paraId="635E22B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449" w:type="pct"/>
                  <w:vAlign w:val="center"/>
                </w:tcPr>
                <w:p w14:paraId="3C478431">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5C8F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201" w:type="pct"/>
                  <w:vAlign w:val="center"/>
                </w:tcPr>
                <w:p w14:paraId="594EAEB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12</w:t>
                  </w:r>
                </w:p>
              </w:tc>
              <w:tc>
                <w:tcPr>
                  <w:tcW w:w="1032" w:type="pct"/>
                  <w:gridSpan w:val="2"/>
                  <w:vAlign w:val="center"/>
                </w:tcPr>
                <w:p w14:paraId="5C10CC69">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绿化</w:t>
                  </w:r>
                </w:p>
              </w:tc>
              <w:tc>
                <w:tcPr>
                  <w:tcW w:w="2866" w:type="pct"/>
                  <w:vAlign w:val="center"/>
                </w:tcPr>
                <w:p w14:paraId="14DAE0B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升压站设置有绿化带，绿化面积2969</w:t>
                  </w:r>
                  <w:r>
                    <w:rPr>
                      <w:rFonts w:hint="default" w:ascii="Times New Roman" w:hAnsi="Times New Roman" w:eastAsia="宋体" w:cs="Times New Roman"/>
                      <w:bCs/>
                      <w:color w:val="auto"/>
                      <w:kern w:val="0"/>
                      <w:sz w:val="24"/>
                      <w:highlight w:val="none"/>
                      <w:lang w:val="en-US" w:eastAsia="zh-CN" w:bidi="ar"/>
                    </w:rPr>
                    <w:t>m</w:t>
                  </w:r>
                  <w:r>
                    <w:rPr>
                      <w:rFonts w:hint="default" w:ascii="Times New Roman" w:hAnsi="Times New Roman" w:eastAsia="宋体" w:cs="Times New Roman"/>
                      <w:bCs/>
                      <w:color w:val="auto"/>
                      <w:kern w:val="0"/>
                      <w:sz w:val="24"/>
                      <w:highlight w:val="none"/>
                      <w:vertAlign w:val="superscript"/>
                      <w:lang w:val="en-US" w:eastAsia="zh-CN" w:bidi="ar"/>
                    </w:rPr>
                    <w:t>2</w:t>
                  </w:r>
                </w:p>
              </w:tc>
              <w:tc>
                <w:tcPr>
                  <w:tcW w:w="449" w:type="pct"/>
                  <w:vAlign w:val="center"/>
                </w:tcPr>
                <w:p w14:paraId="092AFB6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449" w:type="pct"/>
                  <w:vAlign w:val="center"/>
                </w:tcPr>
                <w:p w14:paraId="6B7DA56C">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2B96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jc w:val="center"/>
              </w:trPr>
              <w:tc>
                <w:tcPr>
                  <w:tcW w:w="201" w:type="pct"/>
                  <w:vAlign w:val="center"/>
                </w:tcPr>
                <w:p w14:paraId="0A0FA2F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13</w:t>
                  </w:r>
                </w:p>
              </w:tc>
              <w:tc>
                <w:tcPr>
                  <w:tcW w:w="1032" w:type="pct"/>
                  <w:gridSpan w:val="2"/>
                  <w:vAlign w:val="center"/>
                </w:tcPr>
                <w:p w14:paraId="066AF9F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总合计</w:t>
                  </w:r>
                </w:p>
              </w:tc>
              <w:tc>
                <w:tcPr>
                  <w:tcW w:w="2866" w:type="pct"/>
                  <w:vAlign w:val="center"/>
                </w:tcPr>
                <w:p w14:paraId="31B9814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9" w:type="pct"/>
                  <w:vAlign w:val="center"/>
                </w:tcPr>
                <w:p w14:paraId="6739642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52.5</w:t>
                  </w:r>
                </w:p>
              </w:tc>
              <w:tc>
                <w:tcPr>
                  <w:tcW w:w="449" w:type="pct"/>
                  <w:vAlign w:val="center"/>
                </w:tcPr>
                <w:p w14:paraId="3517FA19">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p>
              </w:tc>
            </w:tr>
          </w:tbl>
          <w:p w14:paraId="77A63B93">
            <w:pPr>
              <w:adjustRightInd w:val="0"/>
              <w:jc w:val="center"/>
              <w:rPr>
                <w:rFonts w:hint="default" w:ascii="Times New Roman" w:hAnsi="Times New Roman" w:eastAsia="宋体" w:cs="Times New Roman"/>
                <w:b/>
                <w:color w:val="auto"/>
                <w:sz w:val="24"/>
                <w:szCs w:val="24"/>
                <w:highlight w:val="none"/>
                <w:lang w:val="en-US" w:eastAsia="zh-CN"/>
              </w:rPr>
            </w:pPr>
          </w:p>
          <w:p w14:paraId="522DA4DC">
            <w:pPr>
              <w:adjustRightInd w:val="0"/>
              <w:jc w:val="center"/>
              <w:rPr>
                <w:rFonts w:hint="default" w:ascii="Times New Roman" w:hAnsi="Times New Roman" w:eastAsia="宋体" w:cs="Times New Roman"/>
                <w:b/>
                <w:color w:val="auto"/>
                <w:sz w:val="24"/>
                <w:szCs w:val="24"/>
                <w:highlight w:val="none"/>
                <w:lang w:val="en-US" w:eastAsia="zh-CN"/>
              </w:rPr>
            </w:pPr>
          </w:p>
          <w:p w14:paraId="572BDF99">
            <w:pPr>
              <w:adjustRightInd w:val="0"/>
              <w:jc w:val="center"/>
              <w:rPr>
                <w:rFonts w:hint="default" w:ascii="Times New Roman" w:hAnsi="Times New Roman" w:eastAsia="宋体" w:cs="Times New Roman"/>
                <w:b/>
                <w:color w:val="auto"/>
                <w:sz w:val="24"/>
                <w:szCs w:val="24"/>
                <w:highlight w:val="none"/>
                <w:lang w:val="en-US" w:eastAsia="zh-CN"/>
              </w:rPr>
            </w:pPr>
          </w:p>
          <w:p w14:paraId="1E662225">
            <w:pPr>
              <w:pStyle w:val="23"/>
              <w:outlineLvl w:val="9"/>
              <w:rPr>
                <w:rFonts w:hint="default" w:ascii="Times New Roman" w:hAnsi="Times New Roman" w:eastAsia="宋体" w:cs="Times New Roman"/>
                <w:b/>
                <w:color w:val="auto"/>
                <w:sz w:val="24"/>
                <w:szCs w:val="24"/>
                <w:highlight w:val="none"/>
                <w:lang w:val="en-US" w:eastAsia="zh-CN"/>
              </w:rPr>
            </w:pPr>
          </w:p>
          <w:p w14:paraId="02D9C68C">
            <w:pPr>
              <w:rPr>
                <w:rFonts w:hint="default" w:ascii="Times New Roman" w:hAnsi="Times New Roman" w:eastAsia="宋体" w:cs="Times New Roman"/>
                <w:color w:val="auto"/>
                <w:highlight w:val="none"/>
                <w:lang w:val="en-US" w:eastAsia="zh-CN"/>
              </w:rPr>
            </w:pPr>
          </w:p>
          <w:p w14:paraId="061299F6">
            <w:pPr>
              <w:rPr>
                <w:rFonts w:hint="default" w:ascii="Times New Roman" w:hAnsi="Times New Roman" w:eastAsia="宋体" w:cs="Times New Roman"/>
                <w:color w:val="auto"/>
                <w:highlight w:val="none"/>
                <w:lang w:val="en-US" w:eastAsia="zh-CN"/>
              </w:rPr>
            </w:pPr>
          </w:p>
          <w:p w14:paraId="3DD60A24">
            <w:pPr>
              <w:rPr>
                <w:rFonts w:hint="default" w:ascii="Times New Roman" w:hAnsi="Times New Roman" w:eastAsia="宋体" w:cs="Times New Roman"/>
                <w:color w:val="auto"/>
                <w:highlight w:val="none"/>
                <w:lang w:val="en-US" w:eastAsia="zh-CN"/>
              </w:rPr>
            </w:pPr>
          </w:p>
          <w:p w14:paraId="357140F2">
            <w:pPr>
              <w:rPr>
                <w:rFonts w:hint="default" w:ascii="Times New Roman" w:hAnsi="Times New Roman" w:eastAsia="宋体" w:cs="Times New Roman"/>
                <w:color w:val="auto"/>
                <w:highlight w:val="none"/>
                <w:lang w:val="en-US" w:eastAsia="zh-CN"/>
              </w:rPr>
            </w:pPr>
          </w:p>
          <w:p w14:paraId="2A6132D4">
            <w:pPr>
              <w:rPr>
                <w:rFonts w:hint="default" w:ascii="Times New Roman" w:hAnsi="Times New Roman" w:eastAsia="宋体" w:cs="Times New Roman"/>
                <w:color w:val="auto"/>
                <w:highlight w:val="none"/>
                <w:lang w:val="en-US" w:eastAsia="zh-CN"/>
              </w:rPr>
            </w:pPr>
          </w:p>
          <w:p w14:paraId="5CD773D7">
            <w:pPr>
              <w:rPr>
                <w:rFonts w:hint="default" w:ascii="Times New Roman" w:hAnsi="Times New Roman" w:eastAsia="宋体" w:cs="Times New Roman"/>
                <w:color w:val="auto"/>
                <w:highlight w:val="none"/>
                <w:lang w:val="en-US" w:eastAsia="zh-CN"/>
              </w:rPr>
            </w:pPr>
          </w:p>
          <w:p w14:paraId="1371C260">
            <w:pPr>
              <w:rPr>
                <w:rFonts w:hint="default" w:ascii="Times New Roman" w:hAnsi="Times New Roman" w:eastAsia="宋体" w:cs="Times New Roman"/>
                <w:color w:val="auto"/>
                <w:highlight w:val="none"/>
                <w:lang w:val="en-US" w:eastAsia="zh-CN"/>
              </w:rPr>
            </w:pPr>
          </w:p>
          <w:p w14:paraId="72B629B6">
            <w:pPr>
              <w:rPr>
                <w:rFonts w:hint="default" w:ascii="Times New Roman" w:hAnsi="Times New Roman" w:eastAsia="宋体" w:cs="Times New Roman"/>
                <w:color w:val="auto"/>
                <w:highlight w:val="none"/>
                <w:lang w:val="en-US" w:eastAsia="zh-CN"/>
              </w:rPr>
            </w:pPr>
          </w:p>
          <w:p w14:paraId="15173C80">
            <w:pPr>
              <w:rPr>
                <w:rFonts w:hint="default" w:ascii="Times New Roman" w:hAnsi="Times New Roman" w:eastAsia="宋体" w:cs="Times New Roman"/>
                <w:color w:val="auto"/>
                <w:highlight w:val="none"/>
                <w:lang w:val="en-US" w:eastAsia="zh-CN"/>
              </w:rPr>
            </w:pPr>
          </w:p>
          <w:p w14:paraId="54803449">
            <w:pPr>
              <w:rPr>
                <w:rFonts w:hint="default" w:ascii="Times New Roman" w:hAnsi="Times New Roman" w:eastAsia="宋体" w:cs="Times New Roman"/>
                <w:color w:val="auto"/>
                <w:highlight w:val="none"/>
                <w:lang w:val="en-US" w:eastAsia="zh-CN"/>
              </w:rPr>
            </w:pPr>
          </w:p>
          <w:p w14:paraId="2440E416">
            <w:pPr>
              <w:rPr>
                <w:rFonts w:hint="default" w:ascii="Times New Roman" w:hAnsi="Times New Roman" w:eastAsia="宋体" w:cs="Times New Roman"/>
                <w:color w:val="auto"/>
                <w:highlight w:val="none"/>
                <w:lang w:val="en-US" w:eastAsia="zh-CN"/>
              </w:rPr>
            </w:pPr>
          </w:p>
          <w:p w14:paraId="78CCF5B1">
            <w:pPr>
              <w:rPr>
                <w:rFonts w:hint="default" w:ascii="Times New Roman" w:hAnsi="Times New Roman" w:eastAsia="宋体" w:cs="Times New Roman"/>
                <w:color w:val="auto"/>
                <w:highlight w:val="none"/>
                <w:lang w:val="en-US" w:eastAsia="zh-CN"/>
              </w:rPr>
            </w:pPr>
          </w:p>
          <w:p w14:paraId="21868156">
            <w:pPr>
              <w:rPr>
                <w:rFonts w:hint="default" w:ascii="Times New Roman" w:hAnsi="Times New Roman" w:eastAsia="宋体" w:cs="Times New Roman"/>
                <w:color w:val="auto"/>
                <w:highlight w:val="none"/>
                <w:lang w:val="en-US" w:eastAsia="zh-CN"/>
              </w:rPr>
            </w:pPr>
          </w:p>
          <w:p w14:paraId="5046C4E1">
            <w:pPr>
              <w:rPr>
                <w:rFonts w:hint="default" w:ascii="Times New Roman" w:hAnsi="Times New Roman" w:eastAsia="宋体" w:cs="Times New Roman"/>
                <w:color w:val="auto"/>
                <w:highlight w:val="none"/>
                <w:lang w:val="en-US" w:eastAsia="zh-CN"/>
              </w:rPr>
            </w:pPr>
          </w:p>
          <w:p w14:paraId="05669524">
            <w:pPr>
              <w:rPr>
                <w:rFonts w:hint="default" w:ascii="Times New Roman" w:hAnsi="Times New Roman" w:eastAsia="宋体" w:cs="Times New Roman"/>
                <w:color w:val="auto"/>
                <w:highlight w:val="none"/>
                <w:lang w:val="en-US" w:eastAsia="zh-CN"/>
              </w:rPr>
            </w:pPr>
          </w:p>
          <w:p w14:paraId="295F8F46">
            <w:pPr>
              <w:rPr>
                <w:rFonts w:hint="default" w:ascii="Times New Roman" w:hAnsi="Times New Roman" w:eastAsia="宋体" w:cs="Times New Roman"/>
                <w:color w:val="auto"/>
                <w:highlight w:val="none"/>
                <w:lang w:val="en-US" w:eastAsia="zh-CN"/>
              </w:rPr>
            </w:pPr>
          </w:p>
          <w:p w14:paraId="77815786">
            <w:pPr>
              <w:rPr>
                <w:rFonts w:hint="default" w:ascii="Times New Roman" w:hAnsi="Times New Roman" w:eastAsia="宋体" w:cs="Times New Roman"/>
                <w:color w:val="auto"/>
                <w:highlight w:val="none"/>
                <w:lang w:val="en-US" w:eastAsia="zh-CN"/>
              </w:rPr>
            </w:pPr>
          </w:p>
          <w:p w14:paraId="02508D2D">
            <w:pPr>
              <w:rPr>
                <w:rFonts w:hint="default" w:ascii="Times New Roman" w:hAnsi="Times New Roman" w:eastAsia="宋体" w:cs="Times New Roman"/>
                <w:color w:val="auto"/>
                <w:highlight w:val="none"/>
                <w:lang w:val="en-US" w:eastAsia="zh-CN"/>
              </w:rPr>
            </w:pPr>
          </w:p>
          <w:p w14:paraId="61170FA4">
            <w:pPr>
              <w:rPr>
                <w:rFonts w:hint="default" w:ascii="Times New Roman" w:hAnsi="Times New Roman" w:eastAsia="宋体" w:cs="Times New Roman"/>
                <w:color w:val="auto"/>
                <w:highlight w:val="none"/>
                <w:lang w:val="en-US" w:eastAsia="zh-CN"/>
              </w:rPr>
            </w:pPr>
          </w:p>
          <w:p w14:paraId="44A41BCD">
            <w:pPr>
              <w:rPr>
                <w:rFonts w:hint="default" w:ascii="Times New Roman" w:hAnsi="Times New Roman" w:eastAsia="宋体" w:cs="Times New Roman"/>
                <w:color w:val="auto"/>
                <w:highlight w:val="none"/>
                <w:lang w:val="en-US" w:eastAsia="zh-CN"/>
              </w:rPr>
            </w:pPr>
          </w:p>
          <w:p w14:paraId="0D6CE5F0">
            <w:pPr>
              <w:rPr>
                <w:rFonts w:hint="default" w:ascii="Times New Roman" w:hAnsi="Times New Roman" w:eastAsia="宋体" w:cs="Times New Roman"/>
                <w:color w:val="auto"/>
                <w:highlight w:val="none"/>
                <w:lang w:val="en-US" w:eastAsia="zh-CN"/>
              </w:rPr>
            </w:pPr>
          </w:p>
          <w:p w14:paraId="6CE596C0">
            <w:pPr>
              <w:rPr>
                <w:rFonts w:hint="default" w:ascii="Times New Roman" w:hAnsi="Times New Roman" w:eastAsia="宋体" w:cs="Times New Roman"/>
                <w:color w:val="auto"/>
                <w:highlight w:val="none"/>
                <w:lang w:val="en-US" w:eastAsia="zh-CN"/>
              </w:rPr>
            </w:pPr>
          </w:p>
          <w:p w14:paraId="77595197">
            <w:pPr>
              <w:rPr>
                <w:rFonts w:hint="default" w:ascii="Times New Roman" w:hAnsi="Times New Roman" w:eastAsia="宋体" w:cs="Times New Roman"/>
                <w:color w:val="auto"/>
                <w:highlight w:val="none"/>
                <w:lang w:val="en-US" w:eastAsia="zh-CN"/>
              </w:rPr>
            </w:pPr>
          </w:p>
          <w:p w14:paraId="1EB4DA81">
            <w:pPr>
              <w:rPr>
                <w:rFonts w:hint="default" w:ascii="Times New Roman" w:hAnsi="Times New Roman" w:eastAsia="宋体" w:cs="Times New Roman"/>
                <w:color w:val="auto"/>
                <w:highlight w:val="none"/>
                <w:lang w:val="en-US" w:eastAsia="zh-CN"/>
              </w:rPr>
            </w:pPr>
          </w:p>
          <w:p w14:paraId="2E26A7BE">
            <w:pPr>
              <w:rPr>
                <w:rFonts w:hint="default" w:ascii="Times New Roman" w:hAnsi="Times New Roman" w:eastAsia="宋体" w:cs="Times New Roman"/>
                <w:color w:val="auto"/>
                <w:highlight w:val="none"/>
                <w:lang w:val="en-US" w:eastAsia="zh-CN"/>
              </w:rPr>
            </w:pPr>
          </w:p>
          <w:p w14:paraId="55048B35">
            <w:pPr>
              <w:rPr>
                <w:rFonts w:hint="default" w:ascii="Times New Roman" w:hAnsi="Times New Roman" w:eastAsia="宋体" w:cs="Times New Roman"/>
                <w:color w:val="auto"/>
                <w:highlight w:val="none"/>
                <w:lang w:val="en-US" w:eastAsia="zh-CN"/>
              </w:rPr>
            </w:pPr>
          </w:p>
          <w:p w14:paraId="1D8829E5">
            <w:pPr>
              <w:rPr>
                <w:rFonts w:hint="default" w:ascii="Times New Roman" w:hAnsi="Times New Roman" w:eastAsia="宋体" w:cs="Times New Roman"/>
                <w:color w:val="auto"/>
                <w:highlight w:val="none"/>
                <w:lang w:val="en-US" w:eastAsia="zh-CN"/>
              </w:rPr>
            </w:pPr>
          </w:p>
        </w:tc>
      </w:tr>
    </w:tbl>
    <w:p w14:paraId="56A2AFDA">
      <w:pPr>
        <w:adjustRightInd w:val="0"/>
        <w:rPr>
          <w:rFonts w:hint="default" w:ascii="Times New Roman" w:hAnsi="Times New Roman" w:eastAsia="宋体" w:cs="Times New Roman"/>
          <w:color w:val="auto"/>
          <w:highlight w:val="none"/>
        </w:rPr>
        <w:sectPr>
          <w:pgSz w:w="11907" w:h="16840"/>
          <w:pgMar w:top="1440" w:right="1800" w:bottom="1440" w:left="1800" w:header="851" w:footer="1077" w:gutter="0"/>
          <w:pgBorders>
            <w:top w:val="none" w:sz="0" w:space="0"/>
            <w:left w:val="none" w:sz="0" w:space="0"/>
            <w:bottom w:val="none" w:sz="0" w:space="0"/>
            <w:right w:val="none" w:sz="0" w:space="0"/>
          </w:pgBorders>
          <w:pgNumType w:fmt="numberInDash"/>
          <w:cols w:space="425" w:num="1"/>
          <w:docGrid w:type="lines" w:linePitch="335" w:charSpace="0"/>
        </w:sectPr>
      </w:pPr>
    </w:p>
    <w:p w14:paraId="67FB4517">
      <w:pPr>
        <w:pStyle w:val="43"/>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230" w:name="_Toc18433"/>
      <w:bookmarkStart w:id="231" w:name="_Toc21538"/>
      <w:bookmarkStart w:id="232" w:name="_Toc20341"/>
      <w:bookmarkStart w:id="233" w:name="_Toc88128712"/>
      <w:bookmarkStart w:id="234" w:name="_Toc11752"/>
      <w:bookmarkStart w:id="235" w:name="_Toc6095"/>
      <w:bookmarkStart w:id="236" w:name="_Toc897"/>
      <w:bookmarkStart w:id="237" w:name="_Toc22828"/>
      <w:bookmarkStart w:id="238" w:name="_Toc11789"/>
      <w:bookmarkStart w:id="239" w:name="_Toc24654"/>
      <w:bookmarkStart w:id="240" w:name="_Toc1658"/>
      <w:bookmarkStart w:id="241" w:name="_Toc22775"/>
      <w:r>
        <w:rPr>
          <w:rFonts w:hint="default" w:ascii="Times New Roman" w:hAnsi="Times New Roman" w:eastAsia="宋体" w:cs="Times New Roman"/>
          <w:b/>
          <w:bCs/>
          <w:snapToGrid w:val="0"/>
          <w:color w:val="auto"/>
          <w:sz w:val="30"/>
          <w:szCs w:val="30"/>
          <w:highlight w:val="none"/>
        </w:rPr>
        <w:t>六、生态环境保护措施监督检查清单</w:t>
      </w:r>
      <w:bookmarkEnd w:id="230"/>
      <w:bookmarkEnd w:id="231"/>
      <w:bookmarkEnd w:id="232"/>
      <w:bookmarkEnd w:id="233"/>
      <w:bookmarkEnd w:id="234"/>
      <w:bookmarkEnd w:id="235"/>
      <w:bookmarkEnd w:id="236"/>
      <w:bookmarkEnd w:id="237"/>
      <w:bookmarkEnd w:id="238"/>
      <w:bookmarkEnd w:id="239"/>
      <w:bookmarkEnd w:id="240"/>
      <w:bookmarkEnd w:id="241"/>
    </w:p>
    <w:tbl>
      <w:tblPr>
        <w:tblStyle w:val="49"/>
        <w:tblW w:w="54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22"/>
        <w:gridCol w:w="1305"/>
        <w:gridCol w:w="2925"/>
        <w:gridCol w:w="2221"/>
      </w:tblGrid>
      <w:tr w14:paraId="197A3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93" w:type="pct"/>
            <w:vMerge w:val="restart"/>
            <w:tcBorders>
              <w:tl2br w:val="single" w:color="auto" w:sz="4" w:space="0"/>
            </w:tcBorders>
            <w:vAlign w:val="center"/>
          </w:tcPr>
          <w:p w14:paraId="13DAA366">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rPr>
              <w:t xml:space="preserve">   </w:t>
            </w:r>
            <w:r>
              <w:rPr>
                <w:rFonts w:hint="default" w:ascii="Times New Roman" w:hAnsi="Times New Roman" w:eastAsia="宋体" w:cs="Times New Roman"/>
                <w:b/>
                <w:bCs/>
                <w:color w:val="auto"/>
                <w:kern w:val="2"/>
                <w:sz w:val="24"/>
                <w:szCs w:val="24"/>
                <w:highlight w:val="none"/>
              </w:rPr>
              <w:t>内容</w:t>
            </w:r>
          </w:p>
          <w:p w14:paraId="235EDB60">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305" w:lineRule="auto"/>
              <w:ind w:left="-84" w:leftChars="-40" w:right="-84" w:rightChars="-40"/>
              <w:jc w:val="both"/>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要素</w:t>
            </w:r>
          </w:p>
        </w:tc>
        <w:tc>
          <w:tcPr>
            <w:tcW w:w="1631" w:type="pct"/>
            <w:gridSpan w:val="2"/>
            <w:vAlign w:val="center"/>
          </w:tcPr>
          <w:p w14:paraId="0725903E">
            <w:pPr>
              <w:pStyle w:val="43"/>
              <w:keepNext w:val="0"/>
              <w:keepLines w:val="0"/>
              <w:pageBreakBefore w:val="0"/>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施工期</w:t>
            </w:r>
          </w:p>
        </w:tc>
        <w:tc>
          <w:tcPr>
            <w:tcW w:w="2774" w:type="pct"/>
            <w:gridSpan w:val="2"/>
            <w:vAlign w:val="center"/>
          </w:tcPr>
          <w:p w14:paraId="344D12A4">
            <w:pPr>
              <w:pStyle w:val="43"/>
              <w:keepNext w:val="0"/>
              <w:keepLines w:val="0"/>
              <w:pageBreakBefore w:val="0"/>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运营期</w:t>
            </w:r>
          </w:p>
        </w:tc>
      </w:tr>
      <w:tr w14:paraId="21DD9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93" w:type="pct"/>
            <w:vMerge w:val="continue"/>
            <w:vAlign w:val="center"/>
          </w:tcPr>
          <w:p w14:paraId="7631B4F2">
            <w:pPr>
              <w:pStyle w:val="43"/>
              <w:keepNext w:val="0"/>
              <w:keepLines w:val="0"/>
              <w:pageBreakBefore w:val="0"/>
              <w:kinsoku/>
              <w:wordWrap/>
              <w:overflowPunct/>
              <w:topLinePunct w:val="0"/>
              <w:autoSpaceDE/>
              <w:autoSpaceDN/>
              <w:bidi w:val="0"/>
              <w:adjustRightInd/>
              <w:snapToGrid/>
              <w:spacing w:before="0" w:beforeAutospacing="0" w:after="0" w:afterAutospacing="0" w:line="305" w:lineRule="auto"/>
              <w:ind w:left="-84" w:leftChars="-40" w:right="-84" w:rightChars="-40" w:firstLine="840"/>
              <w:jc w:val="center"/>
              <w:textAlignment w:val="auto"/>
              <w:outlineLvl w:val="9"/>
              <w:rPr>
                <w:rFonts w:hint="default" w:ascii="Times New Roman" w:hAnsi="Times New Roman" w:eastAsia="宋体" w:cs="Times New Roman"/>
                <w:b/>
                <w:bCs/>
                <w:color w:val="auto"/>
                <w:kern w:val="2"/>
                <w:sz w:val="24"/>
                <w:szCs w:val="24"/>
                <w:highlight w:val="none"/>
              </w:rPr>
            </w:pPr>
          </w:p>
        </w:tc>
        <w:tc>
          <w:tcPr>
            <w:tcW w:w="928" w:type="pct"/>
            <w:vAlign w:val="center"/>
          </w:tcPr>
          <w:p w14:paraId="632895FC">
            <w:pPr>
              <w:pStyle w:val="43"/>
              <w:keepNext w:val="0"/>
              <w:keepLines w:val="0"/>
              <w:pageBreakBefore w:val="0"/>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环境保护措施</w:t>
            </w:r>
          </w:p>
        </w:tc>
        <w:tc>
          <w:tcPr>
            <w:tcW w:w="703" w:type="pct"/>
            <w:vAlign w:val="center"/>
          </w:tcPr>
          <w:p w14:paraId="4EE70E00">
            <w:pPr>
              <w:pStyle w:val="43"/>
              <w:keepNext w:val="0"/>
              <w:keepLines w:val="0"/>
              <w:pageBreakBefore w:val="0"/>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验收要求</w:t>
            </w:r>
          </w:p>
        </w:tc>
        <w:tc>
          <w:tcPr>
            <w:tcW w:w="1576" w:type="pct"/>
            <w:vAlign w:val="center"/>
          </w:tcPr>
          <w:p w14:paraId="2F8961B8">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环境保护措施</w:t>
            </w:r>
          </w:p>
        </w:tc>
        <w:tc>
          <w:tcPr>
            <w:tcW w:w="1197" w:type="pct"/>
            <w:vAlign w:val="center"/>
          </w:tcPr>
          <w:p w14:paraId="2DE0DA05">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305" w:lineRule="auto"/>
              <w:ind w:left="-84" w:leftChars="-40" w:right="-84" w:rightChars="-4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验收要求</w:t>
            </w:r>
          </w:p>
        </w:tc>
      </w:tr>
      <w:tr w14:paraId="613EE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3" w:type="pct"/>
            <w:vAlign w:val="center"/>
          </w:tcPr>
          <w:p w14:paraId="5544BC38">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陆生生态</w:t>
            </w:r>
          </w:p>
        </w:tc>
        <w:tc>
          <w:tcPr>
            <w:tcW w:w="928" w:type="pct"/>
            <w:vAlign w:val="center"/>
          </w:tcPr>
          <w:p w14:paraId="37B96B99">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p>
        </w:tc>
        <w:tc>
          <w:tcPr>
            <w:tcW w:w="703" w:type="pct"/>
            <w:vAlign w:val="center"/>
          </w:tcPr>
          <w:p w14:paraId="52B1D598">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p>
        </w:tc>
        <w:tc>
          <w:tcPr>
            <w:tcW w:w="1576" w:type="pct"/>
            <w:vAlign w:val="center"/>
          </w:tcPr>
          <w:p w14:paraId="3C1AE18F">
            <w:pPr>
              <w:keepNext w:val="0"/>
              <w:keepLines w:val="0"/>
              <w:pageBreakBefore w:val="0"/>
              <w:widowControl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1"/>
                <w:szCs w:val="21"/>
                <w:highlight w:val="none"/>
                <w:lang w:val="en-US" w:eastAsia="zh-CN"/>
              </w:rPr>
              <w:t>升压站设置有绿化带，绿化面积2969</w:t>
            </w:r>
            <w:r>
              <w:rPr>
                <w:rFonts w:hint="default" w:ascii="Times New Roman" w:hAnsi="Times New Roman" w:eastAsia="宋体" w:cs="Times New Roman"/>
                <w:bCs/>
                <w:color w:val="auto"/>
                <w:kern w:val="0"/>
                <w:sz w:val="24"/>
                <w:highlight w:val="none"/>
                <w:lang w:val="en-US" w:eastAsia="zh-CN" w:bidi="ar"/>
              </w:rPr>
              <w:t>m</w:t>
            </w:r>
            <w:r>
              <w:rPr>
                <w:rFonts w:hint="default" w:ascii="Times New Roman" w:hAnsi="Times New Roman" w:eastAsia="宋体" w:cs="Times New Roman"/>
                <w:bCs/>
                <w:color w:val="auto"/>
                <w:kern w:val="0"/>
                <w:sz w:val="24"/>
                <w:highlight w:val="none"/>
                <w:vertAlign w:val="superscript"/>
                <w:lang w:val="en-US" w:eastAsia="zh-CN" w:bidi="ar"/>
              </w:rPr>
              <w:t>2</w:t>
            </w:r>
            <w:r>
              <w:rPr>
                <w:rFonts w:hint="default" w:ascii="Times New Roman" w:hAnsi="Times New Roman" w:eastAsia="宋体" w:cs="Times New Roman"/>
                <w:bCs/>
                <w:color w:val="auto"/>
                <w:kern w:val="0"/>
                <w:sz w:val="24"/>
                <w:highlight w:val="none"/>
                <w:vertAlign w:val="baseline"/>
                <w:lang w:val="en-US" w:eastAsia="zh-CN" w:bidi="ar"/>
              </w:rPr>
              <w:t>，并加强绿化管理。</w:t>
            </w:r>
          </w:p>
        </w:tc>
        <w:tc>
          <w:tcPr>
            <w:tcW w:w="1197" w:type="pct"/>
            <w:vAlign w:val="center"/>
          </w:tcPr>
          <w:p w14:paraId="64FB551D">
            <w:pPr>
              <w:keepNext w:val="0"/>
              <w:keepLines w:val="0"/>
              <w:pageBreakBefore w:val="0"/>
              <w:widowControl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达到绿化降噪、美化环境的效果。</w:t>
            </w:r>
          </w:p>
        </w:tc>
      </w:tr>
      <w:tr w14:paraId="643C9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93" w:type="pct"/>
            <w:vAlign w:val="center"/>
          </w:tcPr>
          <w:p w14:paraId="18A0033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水生生态</w:t>
            </w:r>
          </w:p>
        </w:tc>
        <w:tc>
          <w:tcPr>
            <w:tcW w:w="928" w:type="pct"/>
            <w:vAlign w:val="center"/>
          </w:tcPr>
          <w:p w14:paraId="3755C0CF">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Align w:val="center"/>
          </w:tcPr>
          <w:p w14:paraId="38ED6CB9">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76" w:type="pct"/>
            <w:vAlign w:val="center"/>
          </w:tcPr>
          <w:p w14:paraId="39410322">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197" w:type="pct"/>
            <w:vAlign w:val="center"/>
          </w:tcPr>
          <w:p w14:paraId="00759E22">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39322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Align w:val="center"/>
          </w:tcPr>
          <w:p w14:paraId="77655154">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w:t>
            </w:r>
          </w:p>
          <w:p w14:paraId="29FE4A42">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w:t>
            </w:r>
          </w:p>
        </w:tc>
        <w:tc>
          <w:tcPr>
            <w:tcW w:w="928" w:type="pct"/>
            <w:vAlign w:val="center"/>
          </w:tcPr>
          <w:p w14:paraId="6C03A61A">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Align w:val="center"/>
          </w:tcPr>
          <w:p w14:paraId="7CFBBD71">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p>
        </w:tc>
        <w:tc>
          <w:tcPr>
            <w:tcW w:w="1576" w:type="pct"/>
            <w:vAlign w:val="center"/>
          </w:tcPr>
          <w:p w14:paraId="43D3766E">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val="en-US" w:eastAsia="zh-CN" w:bidi="ar-SA"/>
              </w:rPr>
              <w:t>升压站已按要求</w:t>
            </w:r>
            <w:r>
              <w:rPr>
                <w:rFonts w:hint="default" w:ascii="Times New Roman" w:hAnsi="Times New Roman" w:eastAsia="宋体" w:cs="Times New Roman"/>
                <w:b w:val="0"/>
                <w:bCs w:val="0"/>
                <w:color w:val="auto"/>
                <w:sz w:val="24"/>
                <w:szCs w:val="24"/>
                <w:highlight w:val="none"/>
                <w:lang w:val="en-US" w:eastAsia="zh-CN"/>
              </w:rPr>
              <w:t>设置有雨污分流系统、1个食堂隔油池（容积为0.5m³）、1个埋地化粪池（容积为2m³）、1套一体化污水处理站（处理规模2m³/d）、1个清水池（容积为25.74</w:t>
            </w:r>
            <w:r>
              <w:rPr>
                <w:rFonts w:hint="default" w:ascii="Times New Roman" w:hAnsi="Times New Roman" w:eastAsia="宋体" w:cs="Times New Roman"/>
                <w:b w:val="0"/>
                <w:bCs w:val="0"/>
                <w:color w:val="auto"/>
                <w:sz w:val="24"/>
                <w:szCs w:val="24"/>
                <w:highlight w:val="none"/>
              </w:rPr>
              <w:t>m³</w:t>
            </w:r>
            <w:r>
              <w:rPr>
                <w:rFonts w:hint="default" w:ascii="Times New Roman" w:hAnsi="Times New Roman" w:eastAsia="宋体" w:cs="Times New Roman"/>
                <w:b w:val="0"/>
                <w:bCs w:val="0"/>
                <w:color w:val="auto"/>
                <w:sz w:val="24"/>
                <w:szCs w:val="24"/>
                <w:highlight w:val="none"/>
                <w:lang w:val="en-US" w:eastAsia="zh-CN"/>
              </w:rPr>
              <w:t>），产生的食堂废水经食堂隔油池预处理后，和其他一般生活污水一同排入化粪池，经化粪池处理后排至自建一体化污水处理站进行处理，经处理达</w:t>
            </w:r>
            <w:r>
              <w:rPr>
                <w:rFonts w:hint="default" w:ascii="Times New Roman" w:hAnsi="Times New Roman" w:eastAsia="宋体" w:cs="Times New Roman"/>
                <w:b w:val="0"/>
                <w:bCs w:val="0"/>
                <w:color w:val="auto"/>
                <w:sz w:val="24"/>
                <w:szCs w:val="24"/>
                <w:highlight w:val="none"/>
              </w:rPr>
              <w:t>标后回用于升压站内绿化</w:t>
            </w:r>
            <w:r>
              <w:rPr>
                <w:rFonts w:hint="default" w:ascii="Times New Roman" w:hAnsi="Times New Roman" w:eastAsia="宋体" w:cs="Times New Roman"/>
                <w:b w:val="0"/>
                <w:bCs w:val="0"/>
                <w:color w:val="auto"/>
                <w:sz w:val="24"/>
                <w:szCs w:val="24"/>
                <w:highlight w:val="none"/>
                <w:lang w:val="en-US" w:eastAsia="zh-CN"/>
              </w:rPr>
              <w:t>用水</w:t>
            </w:r>
            <w:r>
              <w:rPr>
                <w:rFonts w:hint="default" w:ascii="Times New Roman" w:hAnsi="Times New Roman" w:eastAsia="宋体" w:cs="Times New Roman"/>
                <w:b w:val="0"/>
                <w:bCs w:val="0"/>
                <w:color w:val="auto"/>
                <w:sz w:val="24"/>
                <w:szCs w:val="24"/>
                <w:highlight w:val="none"/>
              </w:rPr>
              <w:t>，不外排</w:t>
            </w:r>
            <w:r>
              <w:rPr>
                <w:rFonts w:hint="default" w:ascii="Times New Roman" w:hAnsi="Times New Roman" w:eastAsia="宋体" w:cs="Times New Roman"/>
                <w:b w:val="0"/>
                <w:bCs w:val="0"/>
                <w:color w:val="auto"/>
                <w:sz w:val="24"/>
                <w:szCs w:val="24"/>
                <w:highlight w:val="none"/>
                <w:lang w:eastAsia="zh-CN"/>
              </w:rPr>
              <w:t>。</w:t>
            </w:r>
          </w:p>
        </w:tc>
        <w:tc>
          <w:tcPr>
            <w:tcW w:w="1197" w:type="pct"/>
            <w:vAlign w:val="center"/>
          </w:tcPr>
          <w:p w14:paraId="0326292E">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达</w:t>
            </w:r>
            <w:r>
              <w:rPr>
                <w:rFonts w:hint="default" w:ascii="Times New Roman" w:hAnsi="Times New Roman" w:eastAsia="宋体" w:cs="Times New Roman"/>
                <w:b w:val="0"/>
                <w:bCs w:val="0"/>
                <w:color w:val="auto"/>
                <w:sz w:val="24"/>
                <w:szCs w:val="24"/>
                <w:highlight w:val="none"/>
              </w:rPr>
              <w:t>《城市污水再生利用城市杂用水水质》（GB/T18920-2020）中绿化标准</w:t>
            </w:r>
            <w:r>
              <w:rPr>
                <w:rFonts w:hint="default" w:ascii="Times New Roman" w:hAnsi="Times New Roman" w:eastAsia="宋体" w:cs="Times New Roman"/>
                <w:b w:val="0"/>
                <w:bCs w:val="0"/>
                <w:color w:val="auto"/>
                <w:sz w:val="24"/>
                <w:szCs w:val="24"/>
                <w:highlight w:val="none"/>
                <w:lang w:eastAsia="zh-CN"/>
              </w:rPr>
              <w:t>。</w:t>
            </w:r>
          </w:p>
        </w:tc>
      </w:tr>
      <w:tr w14:paraId="10D31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93" w:type="pct"/>
            <w:vAlign w:val="center"/>
          </w:tcPr>
          <w:p w14:paraId="567D6BB1">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地下水及土壤环境</w:t>
            </w:r>
          </w:p>
        </w:tc>
        <w:tc>
          <w:tcPr>
            <w:tcW w:w="928" w:type="pct"/>
            <w:vAlign w:val="center"/>
          </w:tcPr>
          <w:p w14:paraId="036988C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Align w:val="center"/>
          </w:tcPr>
          <w:p w14:paraId="65FBA7DA">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76" w:type="pct"/>
            <w:vAlign w:val="center"/>
          </w:tcPr>
          <w:p w14:paraId="3F3431DF">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197" w:type="pct"/>
            <w:vAlign w:val="center"/>
          </w:tcPr>
          <w:p w14:paraId="1335B837">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5C0BF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93" w:type="pct"/>
            <w:vAlign w:val="center"/>
          </w:tcPr>
          <w:p w14:paraId="3334EBFA">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928" w:type="pct"/>
            <w:vAlign w:val="center"/>
          </w:tcPr>
          <w:p w14:paraId="00DBD00C">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Align w:val="center"/>
          </w:tcPr>
          <w:p w14:paraId="321EBE8B">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p>
        </w:tc>
        <w:tc>
          <w:tcPr>
            <w:tcW w:w="1576" w:type="pct"/>
            <w:vAlign w:val="center"/>
          </w:tcPr>
          <w:p w14:paraId="272E5C67">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aps w:val="0"/>
                <w:color w:val="auto"/>
                <w:sz w:val="24"/>
                <w:szCs w:val="24"/>
                <w:highlight w:val="none"/>
                <w:lang w:val="en-US" w:eastAsia="zh-CN"/>
              </w:rPr>
              <w:t>选用低噪声设备，从声源降低噪声源强产生、设置基础减震，加强设备检查和维护。</w:t>
            </w:r>
          </w:p>
        </w:tc>
        <w:tc>
          <w:tcPr>
            <w:tcW w:w="1197" w:type="pct"/>
            <w:vAlign w:val="center"/>
          </w:tcPr>
          <w:p w14:paraId="14E53225">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达《工业企业厂界环境噪声排放标准》（GB12348-2008）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p>
        </w:tc>
      </w:tr>
      <w:tr w14:paraId="51260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93" w:type="pct"/>
            <w:vMerge w:val="restart"/>
            <w:vAlign w:val="center"/>
          </w:tcPr>
          <w:p w14:paraId="2799A6DE">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928" w:type="pct"/>
            <w:vMerge w:val="restart"/>
            <w:vAlign w:val="center"/>
          </w:tcPr>
          <w:p w14:paraId="23F9A2A4">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Merge w:val="restart"/>
            <w:vAlign w:val="center"/>
          </w:tcPr>
          <w:p w14:paraId="1F4FA75D">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p>
        </w:tc>
        <w:tc>
          <w:tcPr>
            <w:tcW w:w="1576" w:type="pct"/>
            <w:vAlign w:val="center"/>
          </w:tcPr>
          <w:p w14:paraId="14E2213B">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设置1台食堂油烟机对食堂油烟进行处理后没进专用烟道引至楼顶排放。</w:t>
            </w:r>
          </w:p>
        </w:tc>
        <w:tc>
          <w:tcPr>
            <w:tcW w:w="1197" w:type="pct"/>
            <w:vAlign w:val="center"/>
          </w:tcPr>
          <w:p w14:paraId="4B75C804">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对环境影响较小。</w:t>
            </w:r>
          </w:p>
        </w:tc>
      </w:tr>
      <w:tr w14:paraId="79C50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93" w:type="pct"/>
            <w:vMerge w:val="continue"/>
            <w:vAlign w:val="center"/>
          </w:tcPr>
          <w:p w14:paraId="66BF3646">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928" w:type="pct"/>
            <w:vMerge w:val="continue"/>
            <w:vAlign w:val="center"/>
          </w:tcPr>
          <w:p w14:paraId="1C452387">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703" w:type="pct"/>
            <w:vMerge w:val="continue"/>
            <w:vAlign w:val="center"/>
          </w:tcPr>
          <w:p w14:paraId="0ECF4A8F">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1576" w:type="pct"/>
            <w:vAlign w:val="center"/>
          </w:tcPr>
          <w:p w14:paraId="3ABA8CFC">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汽车尾气经大气扩散、绿化吸收后影响较小。</w:t>
            </w:r>
          </w:p>
        </w:tc>
        <w:tc>
          <w:tcPr>
            <w:tcW w:w="1197" w:type="pct"/>
            <w:vAlign w:val="center"/>
          </w:tcPr>
          <w:p w14:paraId="24B133D9">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对环境影响较小。</w:t>
            </w:r>
          </w:p>
        </w:tc>
      </w:tr>
      <w:tr w14:paraId="3A4D1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93" w:type="pct"/>
            <w:vMerge w:val="restart"/>
            <w:vAlign w:val="center"/>
          </w:tcPr>
          <w:p w14:paraId="468F0ACB">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928" w:type="pct"/>
            <w:vMerge w:val="restart"/>
            <w:vAlign w:val="center"/>
          </w:tcPr>
          <w:p w14:paraId="2567CC3A">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Merge w:val="restart"/>
            <w:vAlign w:val="center"/>
          </w:tcPr>
          <w:p w14:paraId="3A81104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76" w:type="pct"/>
            <w:vAlign w:val="center"/>
          </w:tcPr>
          <w:p w14:paraId="3A837158">
            <w:pPr>
              <w:keepNext w:val="0"/>
              <w:keepLines w:val="0"/>
              <w:pageBreakBefore w:val="0"/>
              <w:widowControl w:val="0"/>
              <w:kinsoku/>
              <w:wordWrap/>
              <w:overflowPunct/>
              <w:topLinePunct w:val="0"/>
              <w:autoSpaceDE/>
              <w:autoSpaceDN/>
              <w:bidi w:val="0"/>
              <w:adjustRightInd/>
              <w:snapToGrid/>
              <w:spacing w:line="312"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设置生活垃圾收集桶，</w:t>
            </w:r>
            <w:r>
              <w:rPr>
                <w:rFonts w:hint="default" w:ascii="Times New Roman" w:hAnsi="Times New Roman" w:eastAsia="宋体" w:cs="Times New Roman"/>
                <w:color w:val="auto"/>
                <w:sz w:val="24"/>
                <w:szCs w:val="24"/>
                <w:highlight w:val="none"/>
                <w:lang w:val="en-US" w:eastAsia="zh-CN"/>
              </w:rPr>
              <w:t>生活垃圾及检修废物经收集后，</w:t>
            </w:r>
            <w:r>
              <w:rPr>
                <w:rFonts w:hint="default" w:ascii="Times New Roman" w:hAnsi="Times New Roman" w:eastAsia="宋体" w:cs="Times New Roman"/>
                <w:color w:val="auto"/>
                <w:sz w:val="24"/>
                <w:szCs w:val="24"/>
                <w:highlight w:val="none"/>
              </w:rPr>
              <w:t>运至</w:t>
            </w:r>
            <w:r>
              <w:rPr>
                <w:rFonts w:hint="default" w:ascii="Times New Roman" w:hAnsi="Times New Roman" w:eastAsia="宋体" w:cs="Times New Roman"/>
                <w:color w:val="auto"/>
                <w:sz w:val="24"/>
                <w:szCs w:val="24"/>
                <w:highlight w:val="none"/>
                <w:lang w:val="en-US" w:eastAsia="zh-CN"/>
              </w:rPr>
              <w:t>附近村庄生活</w:t>
            </w:r>
            <w:r>
              <w:rPr>
                <w:rFonts w:hint="default" w:ascii="Times New Roman" w:hAnsi="Times New Roman" w:eastAsia="宋体" w:cs="Times New Roman"/>
                <w:color w:val="auto"/>
                <w:sz w:val="24"/>
                <w:szCs w:val="24"/>
                <w:highlight w:val="none"/>
              </w:rPr>
              <w:t>垃圾</w:t>
            </w:r>
            <w:r>
              <w:rPr>
                <w:rFonts w:hint="default" w:ascii="Times New Roman" w:hAnsi="Times New Roman" w:eastAsia="宋体" w:cs="Times New Roman"/>
                <w:color w:val="auto"/>
                <w:sz w:val="24"/>
                <w:szCs w:val="24"/>
                <w:highlight w:val="none"/>
                <w:lang w:val="en-US" w:eastAsia="zh-CN"/>
              </w:rPr>
              <w:t>集中</w:t>
            </w:r>
            <w:r>
              <w:rPr>
                <w:rFonts w:hint="default" w:ascii="Times New Roman" w:hAnsi="Times New Roman" w:eastAsia="宋体" w:cs="Times New Roman"/>
                <w:color w:val="auto"/>
                <w:sz w:val="24"/>
                <w:szCs w:val="24"/>
                <w:highlight w:val="none"/>
              </w:rPr>
              <w:t>收集点，与附近村庄垃圾一同处置</w:t>
            </w:r>
            <w:r>
              <w:rPr>
                <w:rFonts w:hint="default" w:ascii="Times New Roman" w:hAnsi="Times New Roman" w:eastAsia="宋体" w:cs="Times New Roman"/>
                <w:color w:val="auto"/>
                <w:sz w:val="24"/>
                <w:szCs w:val="24"/>
                <w:highlight w:val="none"/>
                <w:lang w:val="zh-CN"/>
              </w:rPr>
              <w:t>。</w:t>
            </w:r>
          </w:p>
        </w:tc>
        <w:tc>
          <w:tcPr>
            <w:tcW w:w="1197" w:type="pct"/>
            <w:vAlign w:val="center"/>
          </w:tcPr>
          <w:p w14:paraId="49670A1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处置率达100%</w:t>
            </w:r>
            <w:r>
              <w:rPr>
                <w:rFonts w:hint="default" w:ascii="Times New Roman" w:hAnsi="Times New Roman" w:eastAsia="宋体" w:cs="Times New Roman"/>
                <w:color w:val="auto"/>
                <w:sz w:val="24"/>
                <w:szCs w:val="24"/>
                <w:highlight w:val="none"/>
                <w:lang w:eastAsia="zh-CN"/>
              </w:rPr>
              <w:t>。</w:t>
            </w:r>
          </w:p>
        </w:tc>
      </w:tr>
      <w:tr w14:paraId="412D0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93" w:type="pct"/>
            <w:vMerge w:val="continue"/>
            <w:vAlign w:val="center"/>
          </w:tcPr>
          <w:p w14:paraId="4F3D2252">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928" w:type="pct"/>
            <w:vMerge w:val="continue"/>
            <w:vAlign w:val="center"/>
          </w:tcPr>
          <w:p w14:paraId="3E00E63D">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703" w:type="pct"/>
            <w:vMerge w:val="continue"/>
            <w:vAlign w:val="center"/>
          </w:tcPr>
          <w:p w14:paraId="6843C74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1576" w:type="pct"/>
            <w:vAlign w:val="center"/>
          </w:tcPr>
          <w:p w14:paraId="2DB608E0">
            <w:pPr>
              <w:keepNext w:val="0"/>
              <w:keepLines w:val="0"/>
              <w:pageBreakBefore w:val="0"/>
              <w:widowControl w:val="0"/>
              <w:kinsoku/>
              <w:wordWrap/>
              <w:overflowPunct/>
              <w:topLinePunct w:val="0"/>
              <w:autoSpaceDE/>
              <w:autoSpaceDN/>
              <w:bidi w:val="0"/>
              <w:adjustRightInd/>
              <w:snapToGrid/>
              <w:spacing w:line="312" w:lineRule="auto"/>
              <w:ind w:left="-84" w:leftChars="-40" w:right="-84" w:rightChars="-4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rPr>
              <w:t>废油脂</w:t>
            </w:r>
            <w:r>
              <w:rPr>
                <w:rFonts w:hint="default" w:ascii="Times New Roman" w:hAnsi="Times New Roman" w:eastAsia="宋体" w:cs="Times New Roman"/>
                <w:color w:val="auto"/>
                <w:sz w:val="24"/>
                <w:szCs w:val="24"/>
                <w:highlight w:val="none"/>
                <w:lang w:val="en-US" w:eastAsia="zh-CN"/>
              </w:rPr>
              <w:t>经定期清掏后</w:t>
            </w:r>
            <w:r>
              <w:rPr>
                <w:rFonts w:hint="default" w:ascii="Times New Roman" w:hAnsi="Times New Roman" w:eastAsia="宋体" w:cs="Times New Roman"/>
                <w:color w:val="auto"/>
                <w:sz w:val="24"/>
                <w:szCs w:val="24"/>
                <w:highlight w:val="none"/>
              </w:rPr>
              <w:t>交由相关单位进行处置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化粪池及</w:t>
            </w:r>
            <w:r>
              <w:rPr>
                <w:rFonts w:hint="default" w:ascii="Times New Roman" w:hAnsi="Times New Roman" w:eastAsia="宋体" w:cs="Times New Roman"/>
                <w:color w:val="auto"/>
                <w:sz w:val="24"/>
                <w:szCs w:val="24"/>
                <w:highlight w:val="none"/>
                <w:lang w:eastAsia="zh-CN"/>
              </w:rPr>
              <w:t>一体化污水处理站污泥清掏后用于</w:t>
            </w:r>
            <w:r>
              <w:rPr>
                <w:rFonts w:hint="default" w:ascii="Times New Roman" w:hAnsi="Times New Roman" w:eastAsia="宋体" w:cs="Times New Roman"/>
                <w:color w:val="auto"/>
                <w:sz w:val="24"/>
                <w:szCs w:val="24"/>
                <w:highlight w:val="none"/>
                <w:lang w:val="en-US" w:eastAsia="zh-CN"/>
              </w:rPr>
              <w:t>站址周边</w:t>
            </w:r>
            <w:r>
              <w:rPr>
                <w:rFonts w:hint="default" w:ascii="Times New Roman" w:hAnsi="Times New Roman" w:eastAsia="宋体" w:cs="Times New Roman"/>
                <w:color w:val="auto"/>
                <w:sz w:val="24"/>
                <w:szCs w:val="24"/>
                <w:highlight w:val="none"/>
                <w:lang w:eastAsia="zh-CN"/>
              </w:rPr>
              <w:t>植物施肥；</w:t>
            </w:r>
          </w:p>
        </w:tc>
        <w:tc>
          <w:tcPr>
            <w:tcW w:w="1197" w:type="pct"/>
            <w:vAlign w:val="center"/>
          </w:tcPr>
          <w:p w14:paraId="46BAA790">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处置率达100%</w:t>
            </w:r>
            <w:r>
              <w:rPr>
                <w:rFonts w:hint="default" w:ascii="Times New Roman" w:hAnsi="Times New Roman" w:eastAsia="宋体" w:cs="Times New Roman"/>
                <w:color w:val="auto"/>
                <w:sz w:val="24"/>
                <w:szCs w:val="24"/>
                <w:highlight w:val="none"/>
                <w:lang w:eastAsia="zh-CN"/>
              </w:rPr>
              <w:t>。</w:t>
            </w:r>
          </w:p>
        </w:tc>
      </w:tr>
      <w:tr w14:paraId="6F1A1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93" w:type="pct"/>
            <w:vMerge w:val="continue"/>
            <w:vAlign w:val="center"/>
          </w:tcPr>
          <w:p w14:paraId="5E0F3DCC">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928" w:type="pct"/>
            <w:vMerge w:val="continue"/>
            <w:vAlign w:val="center"/>
          </w:tcPr>
          <w:p w14:paraId="23846087">
            <w:pPr>
              <w:keepNext w:val="0"/>
              <w:keepLines w:val="0"/>
              <w:pageBreakBefore w:val="0"/>
              <w:widowControl w:val="0"/>
              <w:kinsoku/>
              <w:wordWrap/>
              <w:overflowPunct/>
              <w:topLinePunct w:val="0"/>
              <w:autoSpaceDE/>
              <w:autoSpaceDN/>
              <w:bidi w:val="0"/>
              <w:adjustRightInd/>
              <w:snapToGrid/>
              <w:spacing w:line="312" w:lineRule="auto"/>
              <w:ind w:left="-84" w:leftChars="-40" w:right="-84" w:rightChars="-40"/>
              <w:jc w:val="center"/>
              <w:textAlignment w:val="auto"/>
              <w:rPr>
                <w:rFonts w:hint="default" w:ascii="Times New Roman" w:hAnsi="Times New Roman" w:eastAsia="宋体" w:cs="Times New Roman"/>
                <w:bCs/>
                <w:color w:val="auto"/>
                <w:sz w:val="24"/>
                <w:szCs w:val="24"/>
                <w:highlight w:val="none"/>
                <w:lang w:val="en-US" w:eastAsia="zh-CN"/>
              </w:rPr>
            </w:pPr>
          </w:p>
        </w:tc>
        <w:tc>
          <w:tcPr>
            <w:tcW w:w="703" w:type="pct"/>
            <w:vMerge w:val="continue"/>
            <w:vAlign w:val="center"/>
          </w:tcPr>
          <w:p w14:paraId="1C0CB493">
            <w:pPr>
              <w:keepNext w:val="0"/>
              <w:keepLines w:val="0"/>
              <w:pageBreakBefore w:val="0"/>
              <w:widowControl w:val="0"/>
              <w:kinsoku/>
              <w:wordWrap/>
              <w:overflowPunct/>
              <w:topLinePunct w:val="0"/>
              <w:autoSpaceDE/>
              <w:autoSpaceDN/>
              <w:bidi w:val="0"/>
              <w:adjustRightInd/>
              <w:snapToGrid/>
              <w:spacing w:line="312" w:lineRule="auto"/>
              <w:ind w:left="-84" w:leftChars="-40" w:right="-84" w:rightChars="-40"/>
              <w:jc w:val="center"/>
              <w:textAlignment w:val="auto"/>
              <w:rPr>
                <w:rFonts w:hint="default" w:ascii="Times New Roman" w:hAnsi="Times New Roman" w:eastAsia="宋体" w:cs="Times New Roman"/>
                <w:color w:val="auto"/>
                <w:sz w:val="24"/>
                <w:szCs w:val="24"/>
                <w:highlight w:val="none"/>
              </w:rPr>
            </w:pPr>
          </w:p>
        </w:tc>
        <w:tc>
          <w:tcPr>
            <w:tcW w:w="1576" w:type="pct"/>
            <w:vAlign w:val="center"/>
          </w:tcPr>
          <w:p w14:paraId="639E648E">
            <w:pPr>
              <w:keepNext w:val="0"/>
              <w:keepLines w:val="0"/>
              <w:pageBreakBefore w:val="0"/>
              <w:widowControl w:val="0"/>
              <w:kinsoku/>
              <w:wordWrap/>
              <w:overflowPunct/>
              <w:topLinePunct w:val="0"/>
              <w:autoSpaceDE/>
              <w:autoSpaceDN/>
              <w:bidi w:val="0"/>
              <w:adjustRightInd/>
              <w:snapToGrid/>
              <w:spacing w:line="312" w:lineRule="auto"/>
              <w:ind w:left="-84" w:leftChars="-40" w:right="-84" w:rightChars="-40"/>
              <w:jc w:val="center"/>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主变下风设置1个集油坑（容积20m³），1个事故油池（容积52.8m³）、1间危废暂存间（占地39.32m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），的产生废蓄电池及</w:t>
            </w:r>
            <w:r>
              <w:rPr>
                <w:rFonts w:hint="default" w:ascii="Times New Roman" w:hAnsi="Times New Roman" w:eastAsia="宋体" w:cs="Times New Roman"/>
                <w:color w:val="auto"/>
                <w:sz w:val="24"/>
                <w:szCs w:val="24"/>
                <w:highlight w:val="none"/>
                <w:lang w:eastAsia="zh-CN"/>
              </w:rPr>
              <w:t>废变压</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eastAsia="zh-CN"/>
              </w:rPr>
              <w:t>油</w:t>
            </w:r>
            <w:r>
              <w:rPr>
                <w:rFonts w:hint="default" w:ascii="Times New Roman" w:hAnsi="Times New Roman" w:eastAsia="宋体" w:cs="Times New Roman"/>
                <w:color w:val="auto"/>
                <w:sz w:val="24"/>
                <w:szCs w:val="24"/>
                <w:highlight w:val="none"/>
                <w:lang w:val="en-US" w:eastAsia="zh-CN"/>
              </w:rPr>
              <w:t>回用后不能回用的废油渣经收集后暂存于危废暂存间，委托云南大地丰源环保有限公司进行处置</w:t>
            </w:r>
            <w:r>
              <w:rPr>
                <w:rFonts w:hint="default" w:ascii="Times New Roman" w:hAnsi="Times New Roman" w:eastAsia="宋体" w:cs="Times New Roman"/>
                <w:color w:val="auto"/>
                <w:sz w:val="24"/>
                <w:highlight w:val="none"/>
              </w:rPr>
              <w:t>。</w:t>
            </w:r>
          </w:p>
        </w:tc>
        <w:tc>
          <w:tcPr>
            <w:tcW w:w="1197" w:type="pct"/>
            <w:vAlign w:val="center"/>
          </w:tcPr>
          <w:p w14:paraId="22660315">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color w:val="auto"/>
                <w:sz w:val="24"/>
                <w:highlight w:val="none"/>
                <w:lang w:val="en-US" w:eastAsia="zh-CN"/>
              </w:rPr>
              <w:t>相求要求。</w:t>
            </w:r>
          </w:p>
        </w:tc>
      </w:tr>
      <w:tr w14:paraId="601AC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93" w:type="pct"/>
            <w:vAlign w:val="center"/>
          </w:tcPr>
          <w:p w14:paraId="78A24BE9">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电磁环境</w:t>
            </w:r>
          </w:p>
        </w:tc>
        <w:tc>
          <w:tcPr>
            <w:tcW w:w="928" w:type="pct"/>
            <w:vAlign w:val="center"/>
          </w:tcPr>
          <w:p w14:paraId="7DBADA16">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Align w:val="center"/>
          </w:tcPr>
          <w:p w14:paraId="6B76B990">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76" w:type="pct"/>
            <w:vAlign w:val="center"/>
          </w:tcPr>
          <w:p w14:paraId="00C038C6">
            <w:pPr>
              <w:keepNext w:val="0"/>
              <w:keepLines w:val="0"/>
              <w:pageBreakBefore w:val="0"/>
              <w:widowControl w:val="0"/>
              <w:numPr>
                <w:ilvl w:val="0"/>
                <w:numId w:val="0"/>
              </w:numPr>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在站址周围粘贴、悬挂各种警告、防护标识，避免意外事故</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加强管理</w:t>
            </w:r>
            <w:r>
              <w:rPr>
                <w:rFonts w:hint="default" w:ascii="Times New Roman" w:hAnsi="Times New Roman" w:eastAsia="宋体" w:cs="Times New Roman"/>
                <w:color w:val="auto"/>
                <w:sz w:val="24"/>
                <w:szCs w:val="24"/>
                <w:highlight w:val="none"/>
              </w:rPr>
              <w:t>。</w:t>
            </w:r>
          </w:p>
        </w:tc>
        <w:tc>
          <w:tcPr>
            <w:tcW w:w="1197" w:type="pct"/>
            <w:vAlign w:val="center"/>
          </w:tcPr>
          <w:p w14:paraId="1C75381D">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满足《电磁环境控制限值》(GB8702-2014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相关要求</w:t>
            </w:r>
            <w:r>
              <w:rPr>
                <w:rFonts w:hint="default" w:ascii="Times New Roman" w:hAnsi="Times New Roman" w:eastAsia="宋体" w:cs="Times New Roman"/>
                <w:color w:val="auto"/>
                <w:sz w:val="24"/>
                <w:szCs w:val="24"/>
                <w:highlight w:val="none"/>
              </w:rPr>
              <w:t>。</w:t>
            </w:r>
          </w:p>
        </w:tc>
      </w:tr>
      <w:tr w14:paraId="3FF2F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93" w:type="pct"/>
            <w:vAlign w:val="center"/>
          </w:tcPr>
          <w:p w14:paraId="761DD86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环境风险</w:t>
            </w:r>
          </w:p>
        </w:tc>
        <w:tc>
          <w:tcPr>
            <w:tcW w:w="928" w:type="pct"/>
            <w:vAlign w:val="center"/>
          </w:tcPr>
          <w:p w14:paraId="35C38CD6">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w:t>
            </w:r>
          </w:p>
        </w:tc>
        <w:tc>
          <w:tcPr>
            <w:tcW w:w="703" w:type="pct"/>
            <w:vAlign w:val="center"/>
          </w:tcPr>
          <w:p w14:paraId="13196E45">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w:t>
            </w:r>
          </w:p>
        </w:tc>
        <w:tc>
          <w:tcPr>
            <w:tcW w:w="1576" w:type="pct"/>
            <w:vAlign w:val="center"/>
          </w:tcPr>
          <w:p w14:paraId="18D51E75">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集油坑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排油管道、</w:t>
            </w:r>
            <w:r>
              <w:rPr>
                <w:rFonts w:hint="default" w:ascii="Times New Roman" w:hAnsi="Times New Roman" w:eastAsia="宋体" w:cs="Times New Roman"/>
                <w:color w:val="auto"/>
                <w:sz w:val="24"/>
                <w:szCs w:val="24"/>
                <w:highlight w:val="none"/>
              </w:rPr>
              <w:t>事故油池</w:t>
            </w:r>
            <w:r>
              <w:rPr>
                <w:rFonts w:hint="default" w:ascii="Times New Roman" w:hAnsi="Times New Roman" w:eastAsia="宋体" w:cs="Times New Roman"/>
                <w:color w:val="auto"/>
                <w:sz w:val="24"/>
                <w:szCs w:val="24"/>
                <w:highlight w:val="none"/>
                <w:lang w:val="en-US" w:eastAsia="zh-CN"/>
              </w:rPr>
              <w:t>及危废暂存间，废旧蓄电池及变压器绝缘油按要求处置，加强火源管理、编制环境风险应急预案等。</w:t>
            </w:r>
          </w:p>
        </w:tc>
        <w:tc>
          <w:tcPr>
            <w:tcW w:w="1197" w:type="pct"/>
            <w:vAlign w:val="center"/>
          </w:tcPr>
          <w:p w14:paraId="6B7426E8">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将环境风险控制在可控范围。</w:t>
            </w:r>
          </w:p>
        </w:tc>
      </w:tr>
      <w:tr w14:paraId="43951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93" w:type="pct"/>
            <w:vAlign w:val="center"/>
          </w:tcPr>
          <w:p w14:paraId="05369F65">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环境监测</w:t>
            </w:r>
          </w:p>
        </w:tc>
        <w:tc>
          <w:tcPr>
            <w:tcW w:w="928" w:type="pct"/>
            <w:vAlign w:val="center"/>
          </w:tcPr>
          <w:p w14:paraId="52A319DD">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703" w:type="pct"/>
            <w:vAlign w:val="center"/>
          </w:tcPr>
          <w:p w14:paraId="6BE22663">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76" w:type="pct"/>
            <w:vAlign w:val="center"/>
          </w:tcPr>
          <w:p w14:paraId="27AFFBA4">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制定工频电场、工频磁场、噪声监测计划。</w:t>
            </w:r>
          </w:p>
        </w:tc>
        <w:tc>
          <w:tcPr>
            <w:tcW w:w="1197" w:type="pct"/>
            <w:vAlign w:val="center"/>
          </w:tcPr>
          <w:p w14:paraId="5B7721FB">
            <w:pPr>
              <w:keepNext w:val="0"/>
              <w:keepLines w:val="0"/>
              <w:pageBreakBefore w:val="0"/>
              <w:widowControl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按计划开展环境监测，监测结果满足国家相应标准要求。</w:t>
            </w:r>
          </w:p>
        </w:tc>
      </w:tr>
      <w:tr w14:paraId="4B3BE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93" w:type="pct"/>
            <w:vAlign w:val="center"/>
          </w:tcPr>
          <w:p w14:paraId="050B5615">
            <w:pPr>
              <w:keepNext w:val="0"/>
              <w:keepLines w:val="0"/>
              <w:pageBreakBefore w:val="0"/>
              <w:kinsoku/>
              <w:wordWrap/>
              <w:overflowPunct/>
              <w:topLinePunct w:val="0"/>
              <w:autoSpaceDE/>
              <w:autoSpaceDN/>
              <w:bidi w:val="0"/>
              <w:adjustRightInd/>
              <w:snapToGrid/>
              <w:spacing w:line="305" w:lineRule="auto"/>
              <w:ind w:left="-84" w:leftChars="-40" w:right="-84" w:rightChars="-4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4406" w:type="pct"/>
            <w:gridSpan w:val="4"/>
            <w:vAlign w:val="center"/>
          </w:tcPr>
          <w:p w14:paraId="2DE50BF8">
            <w:pPr>
              <w:keepNext w:val="0"/>
              <w:keepLines w:val="0"/>
              <w:pageBreakBefore w:val="0"/>
              <w:kinsoku/>
              <w:wordWrap/>
              <w:overflowPunct/>
              <w:topLinePunct w:val="0"/>
              <w:autoSpaceDE/>
              <w:autoSpaceDN/>
              <w:bidi w:val="0"/>
              <w:adjustRightInd/>
              <w:snapToGrid/>
              <w:spacing w:line="360" w:lineRule="auto"/>
              <w:ind w:right="-84" w:rightChars="-4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1、运营期环境管理：</w:t>
            </w:r>
            <w:r>
              <w:rPr>
                <w:rFonts w:hint="default" w:ascii="Times New Roman" w:hAnsi="Times New Roman" w:eastAsia="宋体" w:cs="Times New Roman"/>
                <w:color w:val="auto"/>
                <w:sz w:val="24"/>
                <w:szCs w:val="24"/>
                <w:highlight w:val="none"/>
              </w:rPr>
              <w:t>加强</w:t>
            </w:r>
            <w:r>
              <w:rPr>
                <w:rFonts w:hint="default" w:ascii="Times New Roman" w:hAnsi="Times New Roman" w:eastAsia="宋体" w:cs="Times New Roman"/>
                <w:caps w:val="0"/>
                <w:color w:val="auto"/>
                <w:sz w:val="24"/>
                <w:szCs w:val="24"/>
                <w:highlight w:val="none"/>
                <w:lang w:val="en-US" w:eastAsia="zh-CN"/>
              </w:rPr>
              <w:t>运营期设备的检查</w:t>
            </w:r>
            <w:r>
              <w:rPr>
                <w:rFonts w:hint="default" w:ascii="Times New Roman" w:hAnsi="Times New Roman" w:eastAsia="宋体" w:cs="Times New Roman"/>
                <w:color w:val="auto"/>
                <w:sz w:val="24"/>
                <w:highlight w:val="none"/>
              </w:rPr>
              <w:t>和维护，使之保持良好的运行状态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aps w:val="0"/>
                <w:color w:val="auto"/>
                <w:sz w:val="24"/>
                <w:szCs w:val="24"/>
                <w:highlight w:val="none"/>
                <w:lang w:val="en-US" w:eastAsia="zh-CN"/>
              </w:rPr>
              <w:t>发现异常或事故及时检修，防止由于故障运行产生的环境影响</w:t>
            </w:r>
            <w:r>
              <w:rPr>
                <w:rFonts w:hint="default" w:ascii="Times New Roman" w:hAnsi="Times New Roman" w:eastAsia="宋体" w:cs="Times New Roman"/>
                <w:color w:val="auto"/>
                <w:sz w:val="24"/>
                <w:szCs w:val="24"/>
                <w:highlight w:val="none"/>
              </w:rPr>
              <w:t>。</w:t>
            </w:r>
          </w:p>
          <w:p w14:paraId="6E92B8C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szCs w:val="24"/>
                <w:highlight w:val="none"/>
              </w:rPr>
              <w:t>环境监测计划</w:t>
            </w:r>
          </w:p>
          <w:p w14:paraId="23637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本项目在项目竣工验收在正常运行工况下的工频电磁场的监测，按国家环境保护局编制的《辐射环境保护管理导则电磁辐射监测仪器和方法》的有关规定开展监测及分析工作，</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监测计划一览表见表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w:t>
            </w:r>
          </w:p>
          <w:p w14:paraId="781735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1  项目</w:t>
            </w:r>
            <w:r>
              <w:rPr>
                <w:rFonts w:hint="default" w:ascii="Times New Roman" w:hAnsi="Times New Roman" w:eastAsia="宋体" w:cs="Times New Roman"/>
                <w:b/>
                <w:color w:val="auto"/>
                <w:sz w:val="24"/>
                <w:szCs w:val="24"/>
                <w:highlight w:val="none"/>
              </w:rPr>
              <w:t>环境监测计划</w:t>
            </w:r>
            <w:r>
              <w:rPr>
                <w:rFonts w:hint="default" w:ascii="Times New Roman" w:hAnsi="Times New Roman" w:eastAsia="宋体" w:cs="Times New Roman"/>
                <w:b/>
                <w:color w:val="auto"/>
                <w:sz w:val="24"/>
                <w:szCs w:val="24"/>
                <w:highlight w:val="none"/>
                <w:lang w:val="en-US" w:eastAsia="zh-CN"/>
              </w:rPr>
              <w:t>一览</w:t>
            </w:r>
            <w:r>
              <w:rPr>
                <w:rFonts w:hint="default" w:ascii="Times New Roman" w:hAnsi="Times New Roman" w:eastAsia="宋体" w:cs="Times New Roman"/>
                <w:b/>
                <w:color w:val="auto"/>
                <w:sz w:val="24"/>
                <w:szCs w:val="24"/>
                <w:highlight w:val="none"/>
              </w:rPr>
              <w:t>表</w:t>
            </w:r>
          </w:p>
          <w:tbl>
            <w:tblPr>
              <w:tblStyle w:val="49"/>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6935"/>
            </w:tblGrid>
            <w:tr w14:paraId="42CE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642" w:type="pct"/>
                  <w:shd w:val="clear" w:color="auto" w:fill="auto"/>
                  <w:vAlign w:val="center"/>
                </w:tcPr>
                <w:p w14:paraId="4896BF21">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监测因子</w:t>
                  </w:r>
                </w:p>
              </w:tc>
              <w:tc>
                <w:tcPr>
                  <w:tcW w:w="4357" w:type="pct"/>
                  <w:shd w:val="clear" w:color="auto" w:fill="auto"/>
                  <w:vAlign w:val="center"/>
                </w:tcPr>
                <w:p w14:paraId="2F26A4CC">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工频电场、工频磁场</w:t>
                  </w:r>
                </w:p>
              </w:tc>
            </w:tr>
            <w:tr w14:paraId="667F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42" w:type="pct"/>
                  <w:vAlign w:val="center"/>
                </w:tcPr>
                <w:p w14:paraId="7C9B658F">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升压站</w:t>
                  </w:r>
                  <w:r>
                    <w:rPr>
                      <w:rFonts w:hint="default" w:ascii="Times New Roman" w:hAnsi="Times New Roman" w:eastAsia="宋体" w:cs="Times New Roman"/>
                      <w:color w:val="auto"/>
                      <w:spacing w:val="0"/>
                      <w:highlight w:val="none"/>
                    </w:rPr>
                    <w:t>监测点位</w:t>
                  </w:r>
                </w:p>
              </w:tc>
              <w:tc>
                <w:tcPr>
                  <w:tcW w:w="4357" w:type="pct"/>
                  <w:vAlign w:val="center"/>
                </w:tcPr>
                <w:p w14:paraId="766A2317">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①</w:t>
                  </w:r>
                  <w:r>
                    <w:rPr>
                      <w:rFonts w:hint="default" w:ascii="Times New Roman" w:hAnsi="Times New Roman" w:eastAsia="宋体" w:cs="Times New Roman"/>
                      <w:color w:val="auto"/>
                      <w:spacing w:val="0"/>
                      <w:highlight w:val="none"/>
                      <w:lang w:val="en-US" w:eastAsia="zh-CN"/>
                    </w:rPr>
                    <w:t>于升压站</w:t>
                  </w:r>
                  <w:r>
                    <w:rPr>
                      <w:rFonts w:hint="default" w:ascii="Times New Roman" w:hAnsi="Times New Roman" w:eastAsia="宋体" w:cs="Times New Roman"/>
                      <w:color w:val="auto"/>
                      <w:spacing w:val="0"/>
                      <w:highlight w:val="none"/>
                    </w:rPr>
                    <w:t>东、</w:t>
                  </w:r>
                  <w:r>
                    <w:rPr>
                      <w:rFonts w:hint="default" w:ascii="Times New Roman" w:hAnsi="Times New Roman" w:eastAsia="宋体" w:cs="Times New Roman"/>
                      <w:color w:val="auto"/>
                      <w:spacing w:val="0"/>
                      <w:highlight w:val="none"/>
                      <w:lang w:val="en-US" w:eastAsia="zh-CN"/>
                    </w:rPr>
                    <w:t>南、</w:t>
                  </w:r>
                  <w:r>
                    <w:rPr>
                      <w:rFonts w:hint="default" w:ascii="Times New Roman" w:hAnsi="Times New Roman" w:eastAsia="宋体" w:cs="Times New Roman"/>
                      <w:color w:val="auto"/>
                      <w:spacing w:val="0"/>
                      <w:highlight w:val="none"/>
                    </w:rPr>
                    <w:t>西、北</w:t>
                  </w:r>
                  <w:r>
                    <w:rPr>
                      <w:rFonts w:hint="default" w:ascii="Times New Roman" w:hAnsi="Times New Roman" w:eastAsia="宋体" w:cs="Times New Roman"/>
                      <w:color w:val="auto"/>
                      <w:spacing w:val="0"/>
                      <w:highlight w:val="none"/>
                      <w:lang w:val="en-US" w:eastAsia="zh-CN"/>
                    </w:rPr>
                    <w:t>四侧</w:t>
                  </w:r>
                  <w:r>
                    <w:rPr>
                      <w:rFonts w:hint="default" w:ascii="Times New Roman" w:hAnsi="Times New Roman" w:eastAsia="宋体" w:cs="Times New Roman"/>
                      <w:color w:val="auto"/>
                      <w:spacing w:val="0"/>
                      <w:highlight w:val="none"/>
                    </w:rPr>
                    <w:t>厂界5m处各设1个监测点位</w:t>
                  </w:r>
                  <w:r>
                    <w:rPr>
                      <w:rFonts w:hint="default" w:ascii="Times New Roman" w:hAnsi="Times New Roman" w:eastAsia="宋体" w:cs="Times New Roman"/>
                      <w:color w:val="auto"/>
                      <w:spacing w:val="0"/>
                      <w:highlight w:val="none"/>
                      <w:lang w:eastAsia="zh-CN"/>
                    </w:rPr>
                    <w:t>。</w:t>
                  </w:r>
                </w:p>
                <w:p w14:paraId="46D8800A">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②</w:t>
                  </w:r>
                  <w:r>
                    <w:rPr>
                      <w:rFonts w:hint="default" w:ascii="Times New Roman" w:hAnsi="Times New Roman" w:eastAsia="宋体" w:cs="Times New Roman"/>
                      <w:color w:val="auto"/>
                      <w:spacing w:val="0"/>
                      <w:highlight w:val="none"/>
                      <w:lang w:val="en-US" w:eastAsia="zh-CN"/>
                    </w:rPr>
                    <w:t>升压站</w:t>
                  </w:r>
                  <w:r>
                    <w:rPr>
                      <w:rFonts w:hint="default" w:ascii="Times New Roman" w:hAnsi="Times New Roman" w:eastAsia="宋体" w:cs="Times New Roman"/>
                      <w:color w:val="auto"/>
                      <w:spacing w:val="0"/>
                      <w:highlight w:val="none"/>
                    </w:rPr>
                    <w:t>监测断面1处：围墙外</w:t>
                  </w:r>
                  <w:r>
                    <w:rPr>
                      <w:rFonts w:hint="default" w:ascii="Times New Roman" w:hAnsi="Times New Roman" w:eastAsia="宋体" w:cs="Times New Roman"/>
                      <w:color w:val="auto"/>
                      <w:spacing w:val="0"/>
                      <w:highlight w:val="none"/>
                      <w:lang w:val="en-US" w:eastAsia="zh-CN"/>
                    </w:rPr>
                    <w:t>1</w:t>
                  </w:r>
                  <w:r>
                    <w:rPr>
                      <w:rFonts w:hint="default" w:ascii="Times New Roman" w:hAnsi="Times New Roman" w:eastAsia="宋体" w:cs="Times New Roman"/>
                      <w:color w:val="auto"/>
                      <w:spacing w:val="0"/>
                      <w:highlight w:val="none"/>
                    </w:rPr>
                    <w:t>m处起，每隔5m设1个监测点，测至背景值（或厂界50m）处止</w:t>
                  </w:r>
                  <w:r>
                    <w:rPr>
                      <w:rFonts w:hint="default" w:ascii="Times New Roman" w:hAnsi="Times New Roman" w:eastAsia="宋体" w:cs="Times New Roman"/>
                      <w:color w:val="auto"/>
                      <w:spacing w:val="0"/>
                      <w:highlight w:val="none"/>
                      <w:lang w:eastAsia="zh-CN"/>
                    </w:rPr>
                    <w:t>。</w:t>
                  </w:r>
                </w:p>
              </w:tc>
            </w:tr>
            <w:tr w14:paraId="69AC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642" w:type="pct"/>
                  <w:vAlign w:val="center"/>
                </w:tcPr>
                <w:p w14:paraId="41DDCA69">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监测频率</w:t>
                  </w:r>
                </w:p>
              </w:tc>
              <w:tc>
                <w:tcPr>
                  <w:tcW w:w="4357" w:type="pct"/>
                  <w:vAlign w:val="center"/>
                </w:tcPr>
                <w:p w14:paraId="2842A7DE">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①工程建成正式投产后第一年结合竣工环境保护验收监测一次</w:t>
                  </w:r>
                  <w:r>
                    <w:rPr>
                      <w:rFonts w:hint="default" w:ascii="Times New Roman" w:hAnsi="Times New Roman" w:eastAsia="宋体" w:cs="Times New Roman"/>
                      <w:color w:val="auto"/>
                      <w:spacing w:val="0"/>
                      <w:highlight w:val="none"/>
                      <w:lang w:eastAsia="zh-CN"/>
                    </w:rPr>
                    <w:t>。</w:t>
                  </w:r>
                </w:p>
                <w:p w14:paraId="4EB616F3">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②运行期间存在投诉或纠纷时进行监测</w:t>
                  </w:r>
                  <w:r>
                    <w:rPr>
                      <w:rFonts w:hint="default" w:ascii="Times New Roman" w:hAnsi="Times New Roman" w:eastAsia="宋体" w:cs="Times New Roman"/>
                      <w:color w:val="auto"/>
                      <w:spacing w:val="0"/>
                      <w:highlight w:val="none"/>
                      <w:lang w:eastAsia="zh-CN"/>
                    </w:rPr>
                    <w:t>。</w:t>
                  </w:r>
                </w:p>
                <w:p w14:paraId="21267F57">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③例行环境监测计划或生态环境主管部门要求时进行监测。</w:t>
                  </w:r>
                </w:p>
                <w:p w14:paraId="032C392B">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④主变压器、母线设备等维修后，进行监测。</w:t>
                  </w:r>
                </w:p>
              </w:tc>
            </w:tr>
            <w:tr w14:paraId="2FD9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23" w:type="dxa"/>
                  <w:vAlign w:val="center"/>
                </w:tcPr>
                <w:p w14:paraId="323A1AB2">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监测要求</w:t>
                  </w:r>
                </w:p>
              </w:tc>
              <w:tc>
                <w:tcPr>
                  <w:tcW w:w="6935" w:type="dxa"/>
                  <w:vAlign w:val="center"/>
                </w:tcPr>
                <w:p w14:paraId="1FC76A4E">
                  <w:pPr>
                    <w:autoSpaceDE w:val="0"/>
                    <w:autoSpaceDN w:val="0"/>
                    <w:spacing w:line="360" w:lineRule="auto"/>
                    <w:jc w:val="center"/>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按照竣工验收的要求进行监测。</w:t>
                  </w:r>
                </w:p>
              </w:tc>
            </w:tr>
            <w:tr w14:paraId="3911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42" w:type="pct"/>
                  <w:vAlign w:val="center"/>
                </w:tcPr>
                <w:p w14:paraId="63D28974">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监测方法</w:t>
                  </w:r>
                </w:p>
              </w:tc>
              <w:tc>
                <w:tcPr>
                  <w:tcW w:w="4357" w:type="pct"/>
                  <w:vAlign w:val="center"/>
                </w:tcPr>
                <w:p w14:paraId="6F7AA118">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根据《交流输变电工程电磁环境监测方法（试行）》（HJ681-2013）</w:t>
                  </w:r>
                  <w:r>
                    <w:rPr>
                      <w:rFonts w:hint="default" w:ascii="Times New Roman" w:hAnsi="Times New Roman" w:eastAsia="宋体" w:cs="Times New Roman"/>
                      <w:color w:val="auto"/>
                      <w:spacing w:val="0"/>
                      <w:highlight w:val="none"/>
                      <w:lang w:val="en-US" w:eastAsia="zh-CN"/>
                    </w:rPr>
                    <w:t>相关要求进行监测。</w:t>
                  </w:r>
                </w:p>
              </w:tc>
            </w:tr>
            <w:tr w14:paraId="5AE9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Align w:val="center"/>
                </w:tcPr>
                <w:p w14:paraId="7E7A7F7F">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监测依据</w:t>
                  </w:r>
                </w:p>
              </w:tc>
              <w:tc>
                <w:tcPr>
                  <w:tcW w:w="4357" w:type="pct"/>
                  <w:vAlign w:val="center"/>
                </w:tcPr>
                <w:p w14:paraId="623AE6E6">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《建设项目竣工环境保护验收技术规范 输变电》（HJ705-2020）</w:t>
                  </w:r>
                  <w:r>
                    <w:rPr>
                      <w:rFonts w:hint="default" w:ascii="Times New Roman" w:hAnsi="Times New Roman" w:eastAsia="宋体" w:cs="Times New Roman"/>
                      <w:color w:val="auto"/>
                      <w:spacing w:val="0"/>
                      <w:highlight w:val="none"/>
                      <w:lang w:eastAsia="zh-CN"/>
                    </w:rPr>
                    <w:t>。</w:t>
                  </w:r>
                </w:p>
              </w:tc>
            </w:tr>
            <w:tr w14:paraId="106D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pct"/>
                  <w:vAlign w:val="center"/>
                </w:tcPr>
                <w:p w14:paraId="6154995D">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应记录的工作条件</w:t>
                  </w:r>
                </w:p>
              </w:tc>
              <w:tc>
                <w:tcPr>
                  <w:tcW w:w="4357" w:type="pct"/>
                  <w:vAlign w:val="center"/>
                </w:tcPr>
                <w:p w14:paraId="7E2D125F">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（1）时间、天气状况、温度和湿度</w:t>
                  </w:r>
                  <w:r>
                    <w:rPr>
                      <w:rFonts w:hint="default" w:ascii="Times New Roman" w:hAnsi="Times New Roman" w:eastAsia="宋体" w:cs="Times New Roman"/>
                      <w:color w:val="auto"/>
                      <w:spacing w:val="0"/>
                      <w:highlight w:val="none"/>
                      <w:lang w:eastAsia="zh-CN"/>
                    </w:rPr>
                    <w:t>。</w:t>
                  </w:r>
                </w:p>
                <w:p w14:paraId="5E20A378">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（2）设备名称、型号、工作状况</w:t>
                  </w:r>
                  <w:r>
                    <w:rPr>
                      <w:rFonts w:hint="default" w:ascii="Times New Roman" w:hAnsi="Times New Roman" w:eastAsia="宋体" w:cs="Times New Roman"/>
                      <w:color w:val="auto"/>
                      <w:spacing w:val="0"/>
                      <w:highlight w:val="none"/>
                      <w:lang w:eastAsia="zh-CN"/>
                    </w:rPr>
                    <w:t>。</w:t>
                  </w:r>
                </w:p>
                <w:p w14:paraId="7D6B127C">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（3）监测依据</w:t>
                  </w:r>
                  <w:r>
                    <w:rPr>
                      <w:rFonts w:hint="default" w:ascii="Times New Roman" w:hAnsi="Times New Roman" w:eastAsia="宋体" w:cs="Times New Roman"/>
                      <w:color w:val="auto"/>
                      <w:spacing w:val="0"/>
                      <w:highlight w:val="none"/>
                      <w:lang w:eastAsia="zh-CN"/>
                    </w:rPr>
                    <w:t>。</w:t>
                  </w:r>
                </w:p>
                <w:p w14:paraId="38363D01">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（4）监测时</w:t>
                  </w:r>
                  <w:r>
                    <w:rPr>
                      <w:rFonts w:hint="default" w:ascii="Times New Roman" w:hAnsi="Times New Roman" w:eastAsia="宋体" w:cs="Times New Roman"/>
                      <w:color w:val="auto"/>
                      <w:spacing w:val="0"/>
                      <w:highlight w:val="none"/>
                      <w:lang w:val="en-US" w:eastAsia="zh-CN"/>
                    </w:rPr>
                    <w:t>变电站</w:t>
                  </w:r>
                  <w:r>
                    <w:rPr>
                      <w:rFonts w:hint="default" w:ascii="Times New Roman" w:hAnsi="Times New Roman" w:eastAsia="宋体" w:cs="Times New Roman"/>
                      <w:color w:val="auto"/>
                      <w:spacing w:val="0"/>
                      <w:highlight w:val="none"/>
                    </w:rPr>
                    <w:t>工况情况，如监测时主变电流、电压大小等</w:t>
                  </w:r>
                  <w:r>
                    <w:rPr>
                      <w:rFonts w:hint="default" w:ascii="Times New Roman" w:hAnsi="Times New Roman" w:eastAsia="宋体" w:cs="Times New Roman"/>
                      <w:color w:val="auto"/>
                      <w:spacing w:val="0"/>
                      <w:highlight w:val="none"/>
                      <w:lang w:eastAsia="zh-CN"/>
                    </w:rPr>
                    <w:t>。</w:t>
                  </w:r>
                </w:p>
              </w:tc>
            </w:tr>
            <w:tr w14:paraId="54BA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3" w:type="dxa"/>
                  <w:vAlign w:val="top"/>
                </w:tcPr>
                <w:p w14:paraId="6105B0AB">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评价标准</w:t>
                  </w:r>
                </w:p>
              </w:tc>
              <w:tc>
                <w:tcPr>
                  <w:tcW w:w="6935" w:type="dxa"/>
                  <w:vAlign w:val="top"/>
                </w:tcPr>
                <w:p w14:paraId="7DD4EA7B">
                  <w:pPr>
                    <w:autoSpaceDE w:val="0"/>
                    <w:autoSpaceDN w:val="0"/>
                    <w:spacing w:line="360" w:lineRule="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工频电场和工频磁场均满足《电磁环境控制限值》（GB 8702-2014）规定要求。</w:t>
                  </w:r>
                </w:p>
              </w:tc>
            </w:tr>
          </w:tbl>
          <w:p w14:paraId="79752B8E">
            <w:pPr>
              <w:autoSpaceDE w:val="0"/>
              <w:autoSpaceDN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、建设项目竣工“环境保护验收”</w:t>
            </w:r>
          </w:p>
          <w:p w14:paraId="453D6AF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根据《国务院关于修改</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建设项目环境保护管理条例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决定》（国务院682号令），工程建设执行污染治理设施与主体工程同时设计、同时施工、同时投产使用的“三同时”制度。项目投入运行后，建设单位应当按照国务院环境保护行政主管部门规定的标准和程序，自行对配套建设的环境保护设施进行验收，编制验收报告，并依法向社会公开验收报告。</w:t>
            </w:r>
          </w:p>
          <w:p w14:paraId="264CB4C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建设单位根据《建设项目环境保护管理条例》及《建设项目竣工环境保护验收暂行办法》有关规定进行环境保护竣工验收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由于本项目升压站</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环境影响评价阶段已包含本次评价220kV升压站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内容，现阶段</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正在开展竣工环境保护验收工作，升压站除辐射外的主体工程、配套设施及环保工程已在《</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竣工环境保护验收报告》中进行竣工验收，因此本</w:t>
            </w:r>
            <w:r>
              <w:rPr>
                <w:rFonts w:hint="default" w:ascii="Times New Roman" w:hAnsi="Times New Roman" w:eastAsia="宋体" w:cs="Times New Roman"/>
                <w:color w:val="auto"/>
                <w:sz w:val="24"/>
                <w:highlight w:val="none"/>
              </w:rPr>
              <w:t>项目竣工验收</w:t>
            </w:r>
            <w:r>
              <w:rPr>
                <w:rFonts w:hint="default" w:ascii="Times New Roman" w:hAnsi="Times New Roman" w:eastAsia="宋体" w:cs="Times New Roman"/>
                <w:color w:val="auto"/>
                <w:sz w:val="24"/>
                <w:highlight w:val="none"/>
                <w:lang w:val="en-US" w:eastAsia="zh-CN"/>
              </w:rPr>
              <w:t>主要针对升压站辐射部分内容进行竣工验收，竣工验收</w:t>
            </w:r>
            <w:r>
              <w:rPr>
                <w:rFonts w:hint="default" w:ascii="Times New Roman" w:hAnsi="Times New Roman" w:eastAsia="宋体" w:cs="Times New Roman"/>
                <w:color w:val="auto"/>
                <w:sz w:val="24"/>
                <w:highlight w:val="none"/>
              </w:rPr>
              <w:t>一览表见表</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14:paraId="3C04AC13">
            <w:pPr>
              <w:adjustRightInd w:val="0"/>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 xml:space="preserve">2  </w:t>
            </w:r>
            <w:r>
              <w:rPr>
                <w:rFonts w:hint="default" w:ascii="Times New Roman" w:hAnsi="Times New Roman" w:eastAsia="宋体" w:cs="Times New Roman"/>
                <w:b/>
                <w:color w:val="auto"/>
                <w:sz w:val="24"/>
                <w:szCs w:val="24"/>
                <w:highlight w:val="none"/>
              </w:rPr>
              <w:t>项目竣工环境保护验收一览表</w:t>
            </w:r>
          </w:p>
          <w:tbl>
            <w:tblPr>
              <w:tblStyle w:val="49"/>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536"/>
              <w:gridCol w:w="567"/>
              <w:gridCol w:w="3637"/>
              <w:gridCol w:w="2823"/>
            </w:tblGrid>
            <w:tr w14:paraId="5991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1" w:type="pct"/>
                  <w:vAlign w:val="center"/>
                </w:tcPr>
                <w:p w14:paraId="4AB7E752">
                  <w:pPr>
                    <w:pStyle w:val="260"/>
                    <w:keepNext w:val="0"/>
                    <w:keepLines w:val="0"/>
                    <w:pageBreakBefore w:val="0"/>
                    <w:widowControl w:val="0"/>
                    <w:kinsoku/>
                    <w:wordWrap/>
                    <w:overflowPunct/>
                    <w:topLinePunct w:val="0"/>
                    <w:autoSpaceDE/>
                    <w:autoSpaceDN/>
                    <w:bidi w:val="0"/>
                    <w:adjustRightInd/>
                    <w:snapToGrid/>
                    <w:spacing w:line="240" w:lineRule="auto"/>
                    <w:ind w:left="-84" w:leftChars="-40" w:right="-84" w:rightChars="-4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335" w:type="pct"/>
                  <w:vAlign w:val="center"/>
                </w:tcPr>
                <w:p w14:paraId="3C5073E6">
                  <w:pPr>
                    <w:pStyle w:val="260"/>
                    <w:keepNext w:val="0"/>
                    <w:keepLines w:val="0"/>
                    <w:pageBreakBefore w:val="0"/>
                    <w:widowControl w:val="0"/>
                    <w:kinsoku/>
                    <w:wordWrap/>
                    <w:overflowPunct/>
                    <w:topLinePunct w:val="0"/>
                    <w:autoSpaceDE/>
                    <w:autoSpaceDN/>
                    <w:bidi w:val="0"/>
                    <w:adjustRightInd/>
                    <w:snapToGrid/>
                    <w:spacing w:line="240" w:lineRule="auto"/>
                    <w:ind w:left="-84" w:leftChars="-40" w:right="-84" w:rightChars="-4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验收阶段</w:t>
                  </w:r>
                </w:p>
              </w:tc>
              <w:tc>
                <w:tcPr>
                  <w:tcW w:w="354" w:type="pct"/>
                  <w:vAlign w:val="center"/>
                </w:tcPr>
                <w:p w14:paraId="042758F8">
                  <w:pPr>
                    <w:pStyle w:val="260"/>
                    <w:keepNext w:val="0"/>
                    <w:keepLines w:val="0"/>
                    <w:pageBreakBefore w:val="0"/>
                    <w:widowControl w:val="0"/>
                    <w:kinsoku/>
                    <w:wordWrap/>
                    <w:overflowPunct/>
                    <w:topLinePunct w:val="0"/>
                    <w:autoSpaceDE/>
                    <w:autoSpaceDN/>
                    <w:bidi w:val="0"/>
                    <w:adjustRightInd/>
                    <w:snapToGrid/>
                    <w:spacing w:line="240" w:lineRule="auto"/>
                    <w:ind w:left="-84" w:leftChars="-40" w:right="-84" w:rightChars="-4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验收</w:t>
                  </w:r>
                </w:p>
                <w:p w14:paraId="50BE158B">
                  <w:pPr>
                    <w:pStyle w:val="260"/>
                    <w:keepNext w:val="0"/>
                    <w:keepLines w:val="0"/>
                    <w:pageBreakBefore w:val="0"/>
                    <w:widowControl w:val="0"/>
                    <w:kinsoku/>
                    <w:wordWrap/>
                    <w:overflowPunct/>
                    <w:topLinePunct w:val="0"/>
                    <w:autoSpaceDE/>
                    <w:autoSpaceDN/>
                    <w:bidi w:val="0"/>
                    <w:adjustRightInd/>
                    <w:snapToGrid/>
                    <w:spacing w:line="240" w:lineRule="auto"/>
                    <w:ind w:left="-84" w:leftChars="-40" w:right="-84" w:rightChars="-4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分项</w:t>
                  </w:r>
                </w:p>
              </w:tc>
              <w:tc>
                <w:tcPr>
                  <w:tcW w:w="2273" w:type="pct"/>
                  <w:vAlign w:val="center"/>
                </w:tcPr>
                <w:p w14:paraId="383F6021">
                  <w:pPr>
                    <w:pStyle w:val="260"/>
                    <w:keepNext w:val="0"/>
                    <w:keepLines w:val="0"/>
                    <w:pageBreakBefore w:val="0"/>
                    <w:widowControl w:val="0"/>
                    <w:kinsoku/>
                    <w:wordWrap/>
                    <w:overflowPunct/>
                    <w:topLinePunct w:val="0"/>
                    <w:autoSpaceDE/>
                    <w:autoSpaceDN/>
                    <w:bidi w:val="0"/>
                    <w:adjustRightInd/>
                    <w:snapToGrid/>
                    <w:spacing w:line="240" w:lineRule="auto"/>
                    <w:ind w:left="-84" w:leftChars="-40" w:right="-84" w:rightChars="-4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验收内容（或环保措施）</w:t>
                  </w:r>
                </w:p>
              </w:tc>
              <w:tc>
                <w:tcPr>
                  <w:tcW w:w="1764" w:type="pct"/>
                  <w:vAlign w:val="center"/>
                </w:tcPr>
                <w:p w14:paraId="15FFF7B9">
                  <w:pPr>
                    <w:pStyle w:val="260"/>
                    <w:keepNext w:val="0"/>
                    <w:keepLines w:val="0"/>
                    <w:pageBreakBefore w:val="0"/>
                    <w:widowControl w:val="0"/>
                    <w:kinsoku/>
                    <w:wordWrap/>
                    <w:overflowPunct/>
                    <w:topLinePunct w:val="0"/>
                    <w:autoSpaceDE/>
                    <w:autoSpaceDN/>
                    <w:bidi w:val="0"/>
                    <w:adjustRightInd/>
                    <w:snapToGrid/>
                    <w:spacing w:line="240" w:lineRule="auto"/>
                    <w:ind w:left="-84" w:leftChars="-40" w:right="-84" w:rightChars="-40"/>
                    <w:jc w:val="center"/>
                    <w:textAlignment w:val="auto"/>
                    <w:outlineLvl w:val="9"/>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验收</w:t>
                  </w:r>
                  <w:r>
                    <w:rPr>
                      <w:rFonts w:hint="default" w:ascii="Times New Roman" w:hAnsi="Times New Roman" w:eastAsia="宋体" w:cs="Times New Roman"/>
                      <w:b/>
                      <w:color w:val="auto"/>
                      <w:sz w:val="21"/>
                      <w:szCs w:val="21"/>
                      <w:highlight w:val="none"/>
                      <w:lang w:val="en-US" w:eastAsia="zh-CN"/>
                    </w:rPr>
                    <w:t>要求</w:t>
                  </w:r>
                </w:p>
              </w:tc>
            </w:tr>
            <w:tr w14:paraId="6500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1" w:type="pct"/>
                  <w:vAlign w:val="center"/>
                </w:tcPr>
                <w:p w14:paraId="7B17A51C">
                  <w:pPr>
                    <w:pStyle w:val="260"/>
                    <w:keepNext w:val="0"/>
                    <w:keepLines w:val="0"/>
                    <w:pageBreakBefore w:val="0"/>
                    <w:widowControl w:val="0"/>
                    <w:kinsoku/>
                    <w:wordWrap/>
                    <w:overflowPunct/>
                    <w:topLinePunct w:val="0"/>
                    <w:autoSpaceDE/>
                    <w:autoSpaceDN/>
                    <w:bidi w:val="0"/>
                    <w:adjustRightInd/>
                    <w:snapToGrid/>
                    <w:spacing w:line="308" w:lineRule="auto"/>
                    <w:ind w:left="-84" w:leftChars="-40" w:right="-84" w:rightChars="-4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35" w:type="pct"/>
                  <w:vAlign w:val="center"/>
                </w:tcPr>
                <w:p w14:paraId="4AAE6242">
                  <w:pPr>
                    <w:pStyle w:val="260"/>
                    <w:keepNext w:val="0"/>
                    <w:keepLines w:val="0"/>
                    <w:pageBreakBefore w:val="0"/>
                    <w:widowControl w:val="0"/>
                    <w:kinsoku/>
                    <w:wordWrap/>
                    <w:overflowPunct/>
                    <w:topLinePunct w:val="0"/>
                    <w:autoSpaceDE/>
                    <w:autoSpaceDN/>
                    <w:bidi w:val="0"/>
                    <w:adjustRightInd/>
                    <w:snapToGrid/>
                    <w:spacing w:line="308" w:lineRule="auto"/>
                    <w:ind w:left="-84" w:leftChars="-40" w:right="-84" w:rightChars="-4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354" w:type="pct"/>
                  <w:vAlign w:val="center"/>
                </w:tcPr>
                <w:p w14:paraId="290DB4A3">
                  <w:pPr>
                    <w:pStyle w:val="260"/>
                    <w:keepNext w:val="0"/>
                    <w:keepLines w:val="0"/>
                    <w:pageBreakBefore w:val="0"/>
                    <w:widowControl w:val="0"/>
                    <w:kinsoku/>
                    <w:wordWrap/>
                    <w:overflowPunct/>
                    <w:topLinePunct w:val="0"/>
                    <w:autoSpaceDE/>
                    <w:autoSpaceDN/>
                    <w:bidi w:val="0"/>
                    <w:adjustRightInd/>
                    <w:snapToGrid/>
                    <w:spacing w:line="308" w:lineRule="auto"/>
                    <w:ind w:left="-84" w:leftChars="-40" w:right="-84" w:rightChars="-4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2273" w:type="pct"/>
                  <w:vAlign w:val="center"/>
                </w:tcPr>
                <w:p w14:paraId="47B6D41F">
                  <w:pPr>
                    <w:keepNext w:val="0"/>
                    <w:keepLines w:val="0"/>
                    <w:pageBreakBefore w:val="0"/>
                    <w:widowControl w:val="0"/>
                    <w:numPr>
                      <w:ilvl w:val="0"/>
                      <w:numId w:val="0"/>
                    </w:numPr>
                    <w:kinsoku/>
                    <w:wordWrap/>
                    <w:overflowPunct/>
                    <w:topLinePunct w:val="0"/>
                    <w:autoSpaceDE/>
                    <w:autoSpaceDN/>
                    <w:bidi w:val="0"/>
                    <w:adjustRightInd/>
                    <w:snapToGrid/>
                    <w:spacing w:line="308" w:lineRule="auto"/>
                    <w:ind w:left="-84" w:leftChars="-40" w:right="-84" w:rightChars="-4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在站址周围粘贴、悬挂各种警告、防护标识，</w:t>
                  </w:r>
                  <w:r>
                    <w:rPr>
                      <w:rFonts w:hint="default" w:ascii="Times New Roman" w:hAnsi="Times New Roman" w:eastAsia="宋体" w:cs="Times New Roman"/>
                      <w:bCs/>
                      <w:color w:val="auto"/>
                      <w:sz w:val="21"/>
                      <w:szCs w:val="21"/>
                      <w:highlight w:val="none"/>
                      <w:lang w:val="en-US" w:eastAsia="zh-CN"/>
                    </w:rPr>
                    <w:t>加强管理</w:t>
                  </w:r>
                  <w:r>
                    <w:rPr>
                      <w:rFonts w:hint="default" w:ascii="Times New Roman" w:hAnsi="Times New Roman" w:eastAsia="宋体" w:cs="Times New Roman"/>
                      <w:bCs/>
                      <w:color w:val="auto"/>
                      <w:sz w:val="21"/>
                      <w:szCs w:val="21"/>
                      <w:highlight w:val="none"/>
                    </w:rPr>
                    <w:t>。</w:t>
                  </w:r>
                </w:p>
              </w:tc>
              <w:tc>
                <w:tcPr>
                  <w:tcW w:w="1764" w:type="pct"/>
                  <w:vAlign w:val="center"/>
                </w:tcPr>
                <w:p w14:paraId="09B238EE">
                  <w:pPr>
                    <w:pStyle w:val="260"/>
                    <w:keepNext w:val="0"/>
                    <w:keepLines w:val="0"/>
                    <w:pageBreakBefore w:val="0"/>
                    <w:widowControl w:val="0"/>
                    <w:kinsoku/>
                    <w:wordWrap/>
                    <w:overflowPunct/>
                    <w:topLinePunct w:val="0"/>
                    <w:autoSpaceDE/>
                    <w:autoSpaceDN/>
                    <w:bidi w:val="0"/>
                    <w:adjustRightInd/>
                    <w:snapToGrid/>
                    <w:spacing w:line="308" w:lineRule="auto"/>
                    <w:ind w:left="-84" w:leftChars="-40" w:right="-84" w:rightChars="-4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满足《电磁环境控制限值》（GB8702-2014）中规定的</w:t>
                  </w:r>
                  <w:r>
                    <w:rPr>
                      <w:rFonts w:hint="default" w:ascii="Times New Roman" w:hAnsi="Times New Roman" w:eastAsia="宋体" w:cs="Times New Roman"/>
                      <w:color w:val="auto"/>
                      <w:sz w:val="21"/>
                      <w:szCs w:val="21"/>
                      <w:highlight w:val="none"/>
                      <w:lang w:val="en-US" w:eastAsia="zh-CN"/>
                    </w:rPr>
                    <w:t>相关</w:t>
                  </w:r>
                  <w:r>
                    <w:rPr>
                      <w:rFonts w:hint="default" w:ascii="Times New Roman" w:hAnsi="Times New Roman" w:eastAsia="宋体" w:cs="Times New Roman"/>
                      <w:color w:val="auto"/>
                      <w:sz w:val="21"/>
                      <w:szCs w:val="21"/>
                      <w:highlight w:val="none"/>
                    </w:rPr>
                    <w:t>限值要求。</w:t>
                  </w:r>
                </w:p>
              </w:tc>
            </w:tr>
          </w:tbl>
          <w:p w14:paraId="1A616D43">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299D06C3">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0844DEC6">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5142C1D9">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6BC0E83A">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459837B3">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53CB2A3F">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4DE03617">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59718D97">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47F9C093">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176A260E">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577F762D">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1C86C942">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392D6655">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3BE46403">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0DF050C5">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220D8EA5">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728256E4">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068B15F7">
            <w:pPr>
              <w:keepNext w:val="0"/>
              <w:keepLines w:val="0"/>
              <w:pageBreakBefore w:val="0"/>
              <w:kinsoku/>
              <w:wordWrap/>
              <w:overflowPunct/>
              <w:topLinePunct w:val="0"/>
              <w:autoSpaceDE/>
              <w:autoSpaceDN/>
              <w:bidi w:val="0"/>
              <w:adjustRightInd/>
              <w:snapToGrid/>
              <w:spacing w:line="305" w:lineRule="auto"/>
              <w:ind w:left="-84" w:leftChars="-40" w:right="-84" w:rightChars="-40" w:firstLine="480" w:firstLineChars="200"/>
              <w:jc w:val="center"/>
              <w:textAlignment w:val="auto"/>
              <w:rPr>
                <w:rFonts w:hint="default" w:ascii="Times New Roman" w:hAnsi="Times New Roman" w:eastAsia="宋体" w:cs="Times New Roman"/>
                <w:color w:val="auto"/>
                <w:sz w:val="24"/>
                <w:szCs w:val="24"/>
                <w:highlight w:val="none"/>
              </w:rPr>
            </w:pPr>
          </w:p>
          <w:p w14:paraId="47BC5EF5">
            <w:pPr>
              <w:keepNext w:val="0"/>
              <w:keepLines w:val="0"/>
              <w:pageBreakBefore w:val="0"/>
              <w:kinsoku/>
              <w:wordWrap/>
              <w:overflowPunct/>
              <w:topLinePunct w:val="0"/>
              <w:autoSpaceDE/>
              <w:autoSpaceDN/>
              <w:bidi w:val="0"/>
              <w:adjustRightInd/>
              <w:snapToGrid/>
              <w:spacing w:line="305" w:lineRule="auto"/>
              <w:ind w:right="-84" w:rightChars="-40"/>
              <w:jc w:val="both"/>
              <w:textAlignment w:val="auto"/>
              <w:rPr>
                <w:rFonts w:hint="default" w:ascii="Times New Roman" w:hAnsi="Times New Roman" w:eastAsia="宋体" w:cs="Times New Roman"/>
                <w:color w:val="auto"/>
                <w:sz w:val="24"/>
                <w:szCs w:val="24"/>
                <w:highlight w:val="none"/>
                <w:lang w:eastAsia="zh-CN"/>
              </w:rPr>
            </w:pPr>
          </w:p>
          <w:p w14:paraId="18A45F52">
            <w:pPr>
              <w:keepNext w:val="0"/>
              <w:keepLines w:val="0"/>
              <w:pageBreakBefore w:val="0"/>
              <w:kinsoku/>
              <w:wordWrap/>
              <w:overflowPunct/>
              <w:topLinePunct w:val="0"/>
              <w:autoSpaceDE/>
              <w:autoSpaceDN/>
              <w:bidi w:val="0"/>
              <w:adjustRightInd/>
              <w:snapToGrid/>
              <w:spacing w:line="305" w:lineRule="auto"/>
              <w:ind w:right="-84" w:rightChars="-40"/>
              <w:jc w:val="both"/>
              <w:textAlignment w:val="auto"/>
              <w:rPr>
                <w:rFonts w:hint="default" w:ascii="Times New Roman" w:hAnsi="Times New Roman" w:eastAsia="宋体" w:cs="Times New Roman"/>
                <w:color w:val="auto"/>
                <w:sz w:val="24"/>
                <w:szCs w:val="24"/>
                <w:highlight w:val="none"/>
                <w:lang w:eastAsia="zh-CN"/>
              </w:rPr>
            </w:pPr>
          </w:p>
        </w:tc>
      </w:tr>
    </w:tbl>
    <w:p w14:paraId="0760BA52">
      <w:pPr>
        <w:widowControl/>
        <w:adjustRightInd w:val="0"/>
        <w:jc w:val="left"/>
        <w:rPr>
          <w:rFonts w:hint="default" w:ascii="Times New Roman" w:hAnsi="Times New Roman" w:eastAsia="宋体" w:cs="Times New Roman"/>
          <w:snapToGrid w:val="0"/>
          <w:color w:val="auto"/>
          <w:kern w:val="0"/>
          <w:sz w:val="30"/>
          <w:szCs w:val="30"/>
          <w:highlight w:val="none"/>
        </w:rPr>
      </w:pPr>
      <w:r>
        <w:rPr>
          <w:rFonts w:hint="default" w:ascii="Times New Roman" w:hAnsi="Times New Roman" w:eastAsia="宋体" w:cs="Times New Roman"/>
          <w:snapToGrid w:val="0"/>
          <w:color w:val="auto"/>
          <w:sz w:val="30"/>
          <w:szCs w:val="30"/>
          <w:highlight w:val="none"/>
        </w:rPr>
        <w:br w:type="page"/>
      </w:r>
    </w:p>
    <w:p w14:paraId="7F0D0BA4">
      <w:pPr>
        <w:pStyle w:val="4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242" w:name="_Toc29606"/>
      <w:bookmarkStart w:id="243" w:name="_Toc32607"/>
      <w:bookmarkStart w:id="244" w:name="_Toc8567"/>
      <w:bookmarkStart w:id="245" w:name="_Toc30477"/>
      <w:bookmarkStart w:id="246" w:name="_Toc88128713"/>
      <w:bookmarkStart w:id="247" w:name="_Toc21757"/>
      <w:bookmarkStart w:id="248" w:name="_Toc24107"/>
      <w:bookmarkStart w:id="249" w:name="_Toc29934"/>
      <w:bookmarkStart w:id="250" w:name="_Toc19718"/>
      <w:bookmarkStart w:id="251" w:name="_Toc9511"/>
      <w:bookmarkStart w:id="252" w:name="_Toc32008"/>
      <w:bookmarkStart w:id="253" w:name="_Toc10316"/>
      <w:r>
        <w:rPr>
          <w:rFonts w:hint="default" w:ascii="Times New Roman" w:hAnsi="Times New Roman" w:eastAsia="宋体" w:cs="Times New Roman"/>
          <w:b/>
          <w:bCs/>
          <w:snapToGrid w:val="0"/>
          <w:color w:val="auto"/>
          <w:sz w:val="30"/>
          <w:szCs w:val="30"/>
          <w:highlight w:val="none"/>
        </w:rPr>
        <w:t>七、结论</w:t>
      </w:r>
      <w:bookmarkEnd w:id="242"/>
      <w:bookmarkEnd w:id="243"/>
      <w:bookmarkEnd w:id="244"/>
      <w:bookmarkEnd w:id="245"/>
      <w:bookmarkEnd w:id="246"/>
      <w:bookmarkEnd w:id="247"/>
      <w:bookmarkEnd w:id="248"/>
      <w:bookmarkEnd w:id="249"/>
      <w:bookmarkEnd w:id="250"/>
      <w:bookmarkEnd w:id="251"/>
      <w:bookmarkEnd w:id="252"/>
      <w:bookmarkEnd w:id="253"/>
    </w:p>
    <w:tbl>
      <w:tblPr>
        <w:tblStyle w:val="49"/>
        <w:tblW w:w="49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37"/>
      </w:tblGrid>
      <w:tr w14:paraId="1CB40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9" w:hRule="atLeast"/>
          <w:jc w:val="center"/>
        </w:trPr>
        <w:tc>
          <w:tcPr>
            <w:tcW w:w="9072" w:type="dxa"/>
            <w:vAlign w:val="top"/>
          </w:tcPr>
          <w:p w14:paraId="140B5C1D">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项目的建设有利于</w:t>
            </w:r>
            <w:r>
              <w:rPr>
                <w:rFonts w:hint="default" w:ascii="Times New Roman" w:hAnsi="Times New Roman" w:eastAsia="宋体" w:cs="Times New Roman"/>
                <w:color w:val="auto"/>
                <w:sz w:val="24"/>
                <w:highlight w:val="none"/>
              </w:rPr>
              <w:t>优化该片区电网结构，提供电网供电可靠性。项目的建设符合国家产业政策、相关法律、法规和规划，工程区域的水、气、声</w:t>
            </w:r>
            <w:r>
              <w:rPr>
                <w:rFonts w:hint="default" w:ascii="Times New Roman" w:hAnsi="Times New Roman" w:eastAsia="宋体" w:cs="Times New Roman"/>
                <w:color w:val="auto"/>
                <w:kern w:val="0"/>
                <w:sz w:val="24"/>
                <w:highlight w:val="none"/>
              </w:rPr>
              <w:t>、生态、电磁等环境质量现状较好，</w:t>
            </w:r>
            <w:r>
              <w:rPr>
                <w:rFonts w:hint="default" w:ascii="Times New Roman" w:hAnsi="Times New Roman" w:eastAsia="宋体" w:cs="Times New Roman"/>
                <w:color w:val="auto"/>
                <w:sz w:val="24"/>
                <w:highlight w:val="none"/>
              </w:rPr>
              <w:t>项目所占地不涉及自然保护区、风景名胜区、森林公园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生态红线、</w:t>
            </w:r>
            <w:r>
              <w:rPr>
                <w:rFonts w:hint="default" w:ascii="Times New Roman" w:hAnsi="Times New Roman" w:eastAsia="宋体" w:cs="Times New Roman"/>
                <w:color w:val="auto"/>
                <w:sz w:val="24"/>
                <w:highlight w:val="none"/>
              </w:rPr>
              <w:t>永久基本农田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饮用水源地保护区</w:t>
            </w:r>
            <w:r>
              <w:rPr>
                <w:rFonts w:hint="default" w:ascii="Times New Roman" w:hAnsi="Times New Roman" w:eastAsia="宋体" w:cs="Times New Roman"/>
                <w:color w:val="auto"/>
                <w:sz w:val="24"/>
                <w:highlight w:val="none"/>
              </w:rPr>
              <w:t>等</w:t>
            </w:r>
            <w:r>
              <w:rPr>
                <w:rFonts w:hint="default" w:ascii="Times New Roman" w:hAnsi="Times New Roman" w:eastAsia="宋体" w:cs="Times New Roman"/>
                <w:color w:val="auto"/>
                <w:sz w:val="24"/>
                <w:highlight w:val="none"/>
                <w:lang w:val="en-US" w:eastAsia="zh-CN"/>
              </w:rPr>
              <w:t>环境</w:t>
            </w:r>
            <w:r>
              <w:rPr>
                <w:rFonts w:hint="default" w:ascii="Times New Roman" w:hAnsi="Times New Roman" w:eastAsia="宋体" w:cs="Times New Roman"/>
                <w:color w:val="auto"/>
                <w:sz w:val="24"/>
                <w:highlight w:val="none"/>
              </w:rPr>
              <w:t>敏感区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工程施工期已结束，</w:t>
            </w:r>
            <w:r>
              <w:rPr>
                <w:rFonts w:hint="default" w:ascii="Times New Roman" w:hAnsi="Times New Roman" w:eastAsia="宋体" w:cs="Times New Roman"/>
                <w:color w:val="auto"/>
                <w:sz w:val="24"/>
                <w:szCs w:val="22"/>
                <w:highlight w:val="none"/>
                <w:lang w:val="en-US" w:eastAsia="zh-CN"/>
              </w:rPr>
              <w:t>施工期环境影响已随着施工期的结束而消失，不存在环境遗留问题，项目施工期间未发生相关环保投诉事件；</w:t>
            </w:r>
            <w:r>
              <w:rPr>
                <w:rFonts w:hint="default" w:ascii="Times New Roman" w:hAnsi="Times New Roman" w:eastAsia="宋体" w:cs="Times New Roman"/>
                <w:bCs/>
                <w:color w:val="auto"/>
                <w:sz w:val="24"/>
                <w:highlight w:val="none"/>
                <w:lang w:eastAsia="zh-CN"/>
              </w:rPr>
              <w:t>工程</w:t>
            </w:r>
            <w:r>
              <w:rPr>
                <w:rFonts w:hint="default" w:ascii="Times New Roman" w:hAnsi="Times New Roman" w:eastAsia="宋体" w:cs="Times New Roman"/>
                <w:bCs/>
                <w:color w:val="auto"/>
                <w:sz w:val="24"/>
                <w:highlight w:val="none"/>
                <w:lang w:val="en-US" w:eastAsia="zh-CN"/>
              </w:rPr>
              <w:t>已按</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》的要求进行废气、废水、噪声及固废等环保措施建设，且各项环境保护措施正常运行；升压站电磁环境经</w:t>
            </w:r>
            <w:r>
              <w:rPr>
                <w:rFonts w:hint="default" w:ascii="Times New Roman" w:hAnsi="Times New Roman" w:eastAsia="宋体" w:cs="Times New Roman"/>
                <w:bCs/>
                <w:color w:val="auto"/>
                <w:sz w:val="24"/>
                <w:highlight w:val="none"/>
                <w:lang w:eastAsia="zh-CN"/>
              </w:rPr>
              <w:t>严格</w:t>
            </w:r>
            <w:r>
              <w:rPr>
                <w:rFonts w:hint="default" w:ascii="Times New Roman" w:hAnsi="Times New Roman" w:eastAsia="宋体" w:cs="Times New Roman"/>
                <w:bCs/>
                <w:color w:val="auto"/>
                <w:sz w:val="24"/>
                <w:highlight w:val="none"/>
              </w:rPr>
              <w:t>按照</w:t>
            </w:r>
            <w:r>
              <w:rPr>
                <w:rFonts w:hint="default" w:ascii="Times New Roman" w:hAnsi="Times New Roman" w:eastAsia="宋体" w:cs="Times New Roman"/>
                <w:bCs/>
                <w:color w:val="auto"/>
                <w:sz w:val="24"/>
                <w:highlight w:val="none"/>
                <w:lang w:eastAsia="zh-CN"/>
              </w:rPr>
              <w:t>本次环境影响报告表中规定的</w:t>
            </w:r>
            <w:r>
              <w:rPr>
                <w:rFonts w:hint="default" w:ascii="Times New Roman" w:hAnsi="Times New Roman" w:eastAsia="宋体" w:cs="Times New Roman"/>
                <w:bCs/>
                <w:color w:val="auto"/>
                <w:sz w:val="24"/>
                <w:highlight w:val="none"/>
                <w:lang w:val="en-US" w:eastAsia="zh-CN"/>
              </w:rPr>
              <w:t>电磁环境</w:t>
            </w:r>
            <w:r>
              <w:rPr>
                <w:rFonts w:hint="default" w:ascii="Times New Roman" w:hAnsi="Times New Roman" w:eastAsia="宋体" w:cs="Times New Roman"/>
                <w:bCs/>
                <w:color w:val="auto"/>
                <w:sz w:val="24"/>
                <w:highlight w:val="none"/>
                <w:lang w:eastAsia="zh-CN"/>
              </w:rPr>
              <w:t>污染防治措施</w:t>
            </w:r>
            <w:r>
              <w:rPr>
                <w:rFonts w:hint="default" w:ascii="Times New Roman" w:hAnsi="Times New Roman" w:eastAsia="宋体" w:cs="Times New Roman"/>
                <w:bCs/>
                <w:color w:val="auto"/>
                <w:sz w:val="24"/>
                <w:highlight w:val="none"/>
                <w:lang w:val="en-US" w:eastAsia="zh-CN"/>
              </w:rPr>
              <w:t>建设</w:t>
            </w:r>
            <w:r>
              <w:rPr>
                <w:rFonts w:hint="default" w:ascii="Times New Roman" w:hAnsi="Times New Roman" w:eastAsia="宋体" w:cs="Times New Roman"/>
                <w:bCs/>
                <w:color w:val="auto"/>
                <w:sz w:val="24"/>
                <w:highlight w:val="none"/>
                <w:lang w:eastAsia="zh-CN"/>
              </w:rPr>
              <w:t>后，项目对</w:t>
            </w:r>
            <w:r>
              <w:rPr>
                <w:rFonts w:hint="default" w:ascii="Times New Roman" w:hAnsi="Times New Roman" w:eastAsia="宋体" w:cs="Times New Roman"/>
                <w:bCs/>
                <w:color w:val="auto"/>
                <w:sz w:val="24"/>
                <w:highlight w:val="none"/>
                <w:lang w:val="en-US" w:eastAsia="zh-CN"/>
              </w:rPr>
              <w:t>周边环境</w:t>
            </w:r>
            <w:r>
              <w:rPr>
                <w:rFonts w:hint="default" w:ascii="Times New Roman" w:hAnsi="Times New Roman" w:eastAsia="宋体" w:cs="Times New Roman"/>
                <w:color w:val="auto"/>
                <w:sz w:val="24"/>
                <w:highlight w:val="none"/>
                <w:lang w:val="en-US" w:eastAsia="zh-CN"/>
              </w:rPr>
              <w:t>的影响较小，</w:t>
            </w:r>
            <w:r>
              <w:rPr>
                <w:rFonts w:hint="default" w:ascii="Times New Roman" w:hAnsi="Times New Roman" w:eastAsia="宋体" w:cs="Times New Roman"/>
                <w:color w:val="auto"/>
                <w:sz w:val="24"/>
                <w:highlight w:val="none"/>
                <w:lang w:eastAsia="zh-CN"/>
              </w:rPr>
              <w:t>对区域</w:t>
            </w:r>
            <w:r>
              <w:rPr>
                <w:rFonts w:hint="default" w:ascii="Times New Roman" w:hAnsi="Times New Roman" w:eastAsia="宋体" w:cs="Times New Roman"/>
                <w:color w:val="auto"/>
                <w:sz w:val="24"/>
                <w:highlight w:val="none"/>
                <w:lang w:val="en-US" w:eastAsia="zh-CN"/>
              </w:rPr>
              <w:t>电磁</w:t>
            </w:r>
            <w:r>
              <w:rPr>
                <w:rFonts w:hint="default" w:ascii="Times New Roman" w:hAnsi="Times New Roman" w:eastAsia="宋体" w:cs="Times New Roman"/>
                <w:color w:val="auto"/>
                <w:sz w:val="24"/>
                <w:highlight w:val="none"/>
                <w:lang w:eastAsia="zh-CN"/>
              </w:rPr>
              <w:t>环境的程度可以接受；</w:t>
            </w:r>
            <w:r>
              <w:rPr>
                <w:rFonts w:hint="default" w:ascii="Times New Roman" w:hAnsi="Times New Roman" w:eastAsia="宋体" w:cs="Times New Roman"/>
                <w:color w:val="auto"/>
                <w:sz w:val="24"/>
                <w:highlight w:val="none"/>
                <w:lang w:val="en-US" w:eastAsia="zh-CN"/>
              </w:rPr>
              <w:t>同时，</w:t>
            </w:r>
            <w:r>
              <w:rPr>
                <w:rFonts w:hint="default" w:ascii="Times New Roman" w:hAnsi="Times New Roman" w:eastAsia="宋体" w:cs="Times New Roman"/>
                <w:color w:val="auto"/>
                <w:sz w:val="24"/>
                <w:highlight w:val="none"/>
                <w:lang w:eastAsia="zh-CN"/>
              </w:rPr>
              <w:t>环境选址符合《输变电建设项目环境保护技术要求》（HJ 1113-2020）</w:t>
            </w:r>
            <w:r>
              <w:rPr>
                <w:rFonts w:hint="default" w:ascii="Times New Roman" w:hAnsi="Times New Roman" w:eastAsia="宋体" w:cs="Times New Roman"/>
                <w:color w:val="auto"/>
                <w:sz w:val="24"/>
                <w:highlight w:val="none"/>
                <w:lang w:val="en-US" w:eastAsia="zh-CN"/>
              </w:rPr>
              <w:t>相关要求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
                <w:bCs/>
                <w:color w:val="auto"/>
                <w:sz w:val="24"/>
                <w:highlight w:val="none"/>
                <w:lang w:eastAsia="zh-CN"/>
              </w:rPr>
              <w:t>因此，从</w:t>
            </w:r>
            <w:r>
              <w:rPr>
                <w:rFonts w:hint="default" w:ascii="Times New Roman" w:hAnsi="Times New Roman" w:eastAsia="宋体" w:cs="Times New Roman"/>
                <w:b/>
                <w:bCs/>
                <w:color w:val="auto"/>
                <w:sz w:val="24"/>
                <w:highlight w:val="none"/>
              </w:rPr>
              <w:t>环境保护角度分析，本工程建设可行。</w:t>
            </w:r>
          </w:p>
          <w:p w14:paraId="4CFD7DEF">
            <w:pPr>
              <w:pStyle w:val="60"/>
              <w:rPr>
                <w:rFonts w:hint="default" w:ascii="Times New Roman" w:hAnsi="Times New Roman" w:eastAsia="宋体" w:cs="Times New Roman"/>
                <w:bCs/>
                <w:color w:val="auto"/>
                <w:sz w:val="24"/>
                <w:highlight w:val="none"/>
              </w:rPr>
            </w:pPr>
          </w:p>
          <w:p w14:paraId="1BDB0AE6">
            <w:pPr>
              <w:rPr>
                <w:rFonts w:hint="default" w:ascii="Times New Roman" w:hAnsi="Times New Roman" w:eastAsia="宋体" w:cs="Times New Roman"/>
                <w:bCs/>
                <w:color w:val="auto"/>
                <w:sz w:val="24"/>
                <w:highlight w:val="none"/>
              </w:rPr>
            </w:pPr>
          </w:p>
          <w:p w14:paraId="1045EFF7">
            <w:pPr>
              <w:pStyle w:val="60"/>
              <w:rPr>
                <w:rFonts w:hint="default" w:ascii="Times New Roman" w:hAnsi="Times New Roman" w:eastAsia="宋体" w:cs="Times New Roman"/>
                <w:bCs/>
                <w:color w:val="auto"/>
                <w:sz w:val="24"/>
                <w:highlight w:val="none"/>
              </w:rPr>
            </w:pPr>
          </w:p>
          <w:p w14:paraId="3257207E">
            <w:pPr>
              <w:rPr>
                <w:rFonts w:hint="default" w:ascii="Times New Roman" w:hAnsi="Times New Roman" w:eastAsia="宋体" w:cs="Times New Roman"/>
                <w:bCs/>
                <w:color w:val="auto"/>
                <w:sz w:val="24"/>
                <w:highlight w:val="none"/>
              </w:rPr>
            </w:pPr>
          </w:p>
          <w:p w14:paraId="064562ED">
            <w:pPr>
              <w:pStyle w:val="60"/>
              <w:rPr>
                <w:rFonts w:hint="default" w:ascii="Times New Roman" w:hAnsi="Times New Roman" w:eastAsia="宋体" w:cs="Times New Roman"/>
                <w:bCs/>
                <w:color w:val="auto"/>
                <w:sz w:val="24"/>
                <w:highlight w:val="none"/>
              </w:rPr>
            </w:pPr>
          </w:p>
          <w:p w14:paraId="3B2E4AA9">
            <w:pPr>
              <w:rPr>
                <w:rFonts w:hint="default" w:ascii="Times New Roman" w:hAnsi="Times New Roman" w:eastAsia="宋体" w:cs="Times New Roman"/>
                <w:bCs/>
                <w:color w:val="auto"/>
                <w:sz w:val="24"/>
                <w:highlight w:val="none"/>
              </w:rPr>
            </w:pPr>
          </w:p>
          <w:p w14:paraId="5519078B">
            <w:pPr>
              <w:pStyle w:val="60"/>
              <w:rPr>
                <w:rFonts w:hint="default" w:ascii="Times New Roman" w:hAnsi="Times New Roman" w:eastAsia="宋体" w:cs="Times New Roman"/>
                <w:bCs/>
                <w:color w:val="auto"/>
                <w:sz w:val="24"/>
                <w:highlight w:val="none"/>
              </w:rPr>
            </w:pPr>
          </w:p>
          <w:p w14:paraId="38A1B6EB">
            <w:pPr>
              <w:rPr>
                <w:rFonts w:hint="default" w:ascii="Times New Roman" w:hAnsi="Times New Roman" w:eastAsia="宋体" w:cs="Times New Roman"/>
                <w:bCs/>
                <w:color w:val="auto"/>
                <w:sz w:val="24"/>
                <w:highlight w:val="none"/>
              </w:rPr>
            </w:pPr>
          </w:p>
          <w:p w14:paraId="7D930784">
            <w:pPr>
              <w:pStyle w:val="60"/>
              <w:rPr>
                <w:rFonts w:hint="default" w:ascii="Times New Roman" w:hAnsi="Times New Roman" w:eastAsia="宋体" w:cs="Times New Roman"/>
                <w:bCs/>
                <w:color w:val="auto"/>
                <w:sz w:val="24"/>
                <w:highlight w:val="none"/>
              </w:rPr>
            </w:pPr>
          </w:p>
          <w:p w14:paraId="59968C22">
            <w:pPr>
              <w:rPr>
                <w:rFonts w:hint="default" w:ascii="Times New Roman" w:hAnsi="Times New Roman" w:eastAsia="宋体" w:cs="Times New Roman"/>
                <w:bCs/>
                <w:color w:val="auto"/>
                <w:sz w:val="24"/>
                <w:highlight w:val="none"/>
              </w:rPr>
            </w:pPr>
          </w:p>
          <w:p w14:paraId="62E7C40F">
            <w:pPr>
              <w:pStyle w:val="60"/>
              <w:rPr>
                <w:rFonts w:hint="default" w:ascii="Times New Roman" w:hAnsi="Times New Roman" w:eastAsia="宋体" w:cs="Times New Roman"/>
                <w:bCs/>
                <w:color w:val="auto"/>
                <w:sz w:val="24"/>
                <w:highlight w:val="none"/>
              </w:rPr>
            </w:pPr>
          </w:p>
          <w:p w14:paraId="0677A2D0">
            <w:pPr>
              <w:rPr>
                <w:rFonts w:hint="default" w:ascii="Times New Roman" w:hAnsi="Times New Roman" w:eastAsia="宋体" w:cs="Times New Roman"/>
                <w:bCs/>
                <w:color w:val="auto"/>
                <w:sz w:val="24"/>
                <w:highlight w:val="none"/>
              </w:rPr>
            </w:pPr>
          </w:p>
          <w:p w14:paraId="3D042115">
            <w:pPr>
              <w:pStyle w:val="60"/>
              <w:rPr>
                <w:rFonts w:hint="default" w:ascii="Times New Roman" w:hAnsi="Times New Roman" w:eastAsia="宋体" w:cs="Times New Roman"/>
                <w:bCs/>
                <w:color w:val="auto"/>
                <w:sz w:val="24"/>
                <w:highlight w:val="none"/>
              </w:rPr>
            </w:pPr>
          </w:p>
          <w:p w14:paraId="41A3DE20">
            <w:pPr>
              <w:rPr>
                <w:rFonts w:hint="default" w:ascii="Times New Roman" w:hAnsi="Times New Roman" w:eastAsia="宋体" w:cs="Times New Roman"/>
                <w:bCs/>
                <w:color w:val="auto"/>
                <w:sz w:val="24"/>
                <w:highlight w:val="none"/>
              </w:rPr>
            </w:pPr>
          </w:p>
          <w:p w14:paraId="293DFA04">
            <w:pPr>
              <w:pStyle w:val="23"/>
              <w:outlineLvl w:val="9"/>
              <w:rPr>
                <w:rFonts w:hint="default" w:ascii="Times New Roman" w:hAnsi="Times New Roman" w:eastAsia="宋体" w:cs="Times New Roman"/>
                <w:bCs/>
                <w:color w:val="auto"/>
                <w:sz w:val="24"/>
                <w:highlight w:val="none"/>
              </w:rPr>
            </w:pPr>
          </w:p>
          <w:p w14:paraId="1BE4F009">
            <w:pPr>
              <w:rPr>
                <w:rFonts w:hint="default" w:ascii="Times New Roman" w:hAnsi="Times New Roman" w:eastAsia="宋体" w:cs="Times New Roman"/>
                <w:bCs/>
                <w:color w:val="auto"/>
                <w:sz w:val="24"/>
                <w:highlight w:val="none"/>
              </w:rPr>
            </w:pPr>
          </w:p>
          <w:p w14:paraId="3535D405">
            <w:pPr>
              <w:pStyle w:val="23"/>
              <w:outlineLvl w:val="9"/>
              <w:rPr>
                <w:rFonts w:hint="default" w:ascii="Times New Roman" w:hAnsi="Times New Roman" w:eastAsia="宋体" w:cs="Times New Roman"/>
                <w:color w:val="auto"/>
                <w:highlight w:val="none"/>
              </w:rPr>
            </w:pPr>
          </w:p>
          <w:p w14:paraId="1F0CA11B">
            <w:pPr>
              <w:rPr>
                <w:rFonts w:hint="default" w:ascii="Times New Roman" w:hAnsi="Times New Roman" w:eastAsia="宋体" w:cs="Times New Roman"/>
                <w:bCs/>
                <w:color w:val="auto"/>
                <w:sz w:val="24"/>
                <w:highlight w:val="none"/>
              </w:rPr>
            </w:pPr>
          </w:p>
          <w:p w14:paraId="42BB43C6">
            <w:pPr>
              <w:pStyle w:val="60"/>
              <w:ind w:left="0" w:leftChars="0" w:firstLine="0" w:firstLineChars="0"/>
              <w:rPr>
                <w:rFonts w:hint="default" w:ascii="Times New Roman" w:hAnsi="Times New Roman" w:eastAsia="宋体" w:cs="Times New Roman"/>
                <w:color w:val="auto"/>
                <w:highlight w:val="none"/>
              </w:rPr>
            </w:pPr>
          </w:p>
        </w:tc>
      </w:tr>
      <w:bookmarkEnd w:id="2"/>
    </w:tbl>
    <w:p w14:paraId="621A5B39">
      <w:pPr>
        <w:spacing w:before="156" w:beforeLines="50" w:line="360" w:lineRule="auto"/>
        <w:jc w:val="center"/>
        <w:rPr>
          <w:rFonts w:hint="default" w:ascii="Times New Roman" w:hAnsi="Times New Roman" w:eastAsia="宋体" w:cs="Times New Roman"/>
          <w:b/>
          <w:color w:val="auto"/>
          <w:sz w:val="44"/>
          <w:szCs w:val="48"/>
          <w:highlight w:val="none"/>
          <w:lang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p>
    <w:p w14:paraId="67592159">
      <w:pPr>
        <w:spacing w:before="156" w:beforeLines="50" w:line="360" w:lineRule="auto"/>
        <w:jc w:val="center"/>
        <w:rPr>
          <w:rFonts w:hint="default" w:ascii="Times New Roman" w:hAnsi="Times New Roman" w:eastAsia="宋体" w:cs="Times New Roman"/>
          <w:b/>
          <w:color w:val="auto"/>
          <w:sz w:val="44"/>
          <w:szCs w:val="48"/>
          <w:highlight w:val="none"/>
          <w:lang w:eastAsia="zh-CN"/>
        </w:rPr>
      </w:pPr>
    </w:p>
    <w:p w14:paraId="294E8B83">
      <w:pPr>
        <w:spacing w:before="156" w:beforeLines="50" w:line="360" w:lineRule="auto"/>
        <w:jc w:val="both"/>
        <w:rPr>
          <w:rFonts w:hint="default" w:ascii="Times New Roman" w:hAnsi="Times New Roman" w:eastAsia="宋体" w:cs="Times New Roman"/>
          <w:b/>
          <w:color w:val="auto"/>
          <w:sz w:val="44"/>
          <w:szCs w:val="48"/>
          <w:highlight w:val="none"/>
          <w:lang w:eastAsia="zh-CN"/>
        </w:rPr>
      </w:pPr>
    </w:p>
    <w:p w14:paraId="4A72A7E8">
      <w:pPr>
        <w:keepNext w:val="0"/>
        <w:keepLines w:val="0"/>
        <w:pageBreakBefore w:val="0"/>
        <w:widowControl w:val="0"/>
        <w:kinsoku/>
        <w:wordWrap/>
        <w:overflowPunct/>
        <w:topLinePunct w:val="0"/>
        <w:autoSpaceDE/>
        <w:autoSpaceDN/>
        <w:bidi w:val="0"/>
        <w:adjustRightInd/>
        <w:snapToGrid/>
        <w:spacing w:before="313" w:beforeLines="100" w:after="157" w:afterLines="50" w:line="480" w:lineRule="auto"/>
        <w:jc w:val="center"/>
        <w:textAlignment w:val="auto"/>
        <w:outlineLvl w:val="1"/>
        <w:rPr>
          <w:rFonts w:hint="default" w:ascii="Times New Roman" w:hAnsi="Times New Roman" w:eastAsia="宋体" w:cs="Times New Roman"/>
          <w:b/>
          <w:color w:val="auto"/>
          <w:sz w:val="44"/>
          <w:szCs w:val="48"/>
          <w:highlight w:val="none"/>
          <w:lang w:eastAsia="zh-CN"/>
        </w:rPr>
      </w:pPr>
      <w:bookmarkStart w:id="254" w:name="_Toc1307"/>
      <w:r>
        <w:rPr>
          <w:rFonts w:hint="default" w:ascii="Times New Roman" w:hAnsi="Times New Roman" w:eastAsia="宋体" w:cs="Times New Roman"/>
          <w:b/>
          <w:color w:val="auto"/>
          <w:sz w:val="44"/>
          <w:szCs w:val="48"/>
          <w:highlight w:val="none"/>
          <w:lang w:eastAsia="zh-CN"/>
        </w:rPr>
        <w:t>中清能禄劝县岩子头200MW生态修复光</w:t>
      </w:r>
      <w:bookmarkEnd w:id="254"/>
    </w:p>
    <w:p w14:paraId="5C0091B4">
      <w:pPr>
        <w:keepNext w:val="0"/>
        <w:keepLines w:val="0"/>
        <w:pageBreakBefore w:val="0"/>
        <w:widowControl w:val="0"/>
        <w:kinsoku/>
        <w:wordWrap/>
        <w:overflowPunct/>
        <w:topLinePunct w:val="0"/>
        <w:autoSpaceDE/>
        <w:autoSpaceDN/>
        <w:bidi w:val="0"/>
        <w:adjustRightInd/>
        <w:snapToGrid/>
        <w:spacing w:before="313" w:beforeLines="100" w:after="157" w:afterLines="50" w:line="480" w:lineRule="auto"/>
        <w:jc w:val="center"/>
        <w:textAlignment w:val="auto"/>
        <w:rPr>
          <w:rFonts w:hint="default" w:ascii="Times New Roman" w:hAnsi="Times New Roman" w:eastAsia="宋体" w:cs="Times New Roman"/>
          <w:b/>
          <w:color w:val="auto"/>
          <w:sz w:val="44"/>
          <w:szCs w:val="48"/>
          <w:highlight w:val="none"/>
          <w:lang w:eastAsia="zh-CN"/>
        </w:rPr>
      </w:pPr>
      <w:r>
        <w:rPr>
          <w:rFonts w:hint="default" w:ascii="Times New Roman" w:hAnsi="Times New Roman" w:eastAsia="宋体" w:cs="Times New Roman"/>
          <w:b/>
          <w:color w:val="auto"/>
          <w:sz w:val="44"/>
          <w:szCs w:val="48"/>
          <w:highlight w:val="none"/>
          <w:lang w:eastAsia="zh-CN"/>
        </w:rPr>
        <w:t>伏电站项目-220kV升压站</w:t>
      </w:r>
    </w:p>
    <w:p w14:paraId="1B7F516E">
      <w:pPr>
        <w:pStyle w:val="26"/>
        <w:ind w:left="0" w:leftChars="0" w:firstLine="0" w:firstLineChars="0"/>
        <w:rPr>
          <w:rFonts w:hint="default" w:ascii="Times New Roman" w:hAnsi="Times New Roman" w:eastAsia="宋体" w:cs="Times New Roman"/>
          <w:color w:val="auto"/>
          <w:highlight w:val="none"/>
        </w:rPr>
      </w:pPr>
    </w:p>
    <w:p w14:paraId="49DBFF1F">
      <w:pPr>
        <w:tabs>
          <w:tab w:val="center" w:pos="4260"/>
          <w:tab w:val="left" w:pos="7331"/>
        </w:tabs>
        <w:spacing w:before="1248" w:beforeLines="400" w:line="660" w:lineRule="auto"/>
        <w:jc w:val="center"/>
        <w:outlineLvl w:val="0"/>
        <w:rPr>
          <w:rFonts w:hint="default" w:ascii="Times New Roman" w:hAnsi="Times New Roman" w:eastAsia="宋体" w:cs="Times New Roman"/>
          <w:b/>
          <w:bCs/>
          <w:color w:val="auto"/>
          <w:sz w:val="56"/>
          <w:szCs w:val="56"/>
          <w:highlight w:val="none"/>
        </w:rPr>
      </w:pPr>
      <w:bookmarkStart w:id="255" w:name="_Toc20121"/>
      <w:bookmarkStart w:id="256" w:name="_Toc21299"/>
      <w:bookmarkStart w:id="257" w:name="_Toc32076"/>
      <w:bookmarkStart w:id="258" w:name="_Toc18811"/>
      <w:bookmarkStart w:id="259" w:name="_Toc6447"/>
      <w:bookmarkStart w:id="260" w:name="_Toc18906"/>
      <w:bookmarkStart w:id="261" w:name="_Toc3461"/>
      <w:bookmarkStart w:id="262" w:name="_Toc2104"/>
      <w:bookmarkStart w:id="263" w:name="_Toc26333"/>
      <w:bookmarkStart w:id="264" w:name="_Toc7210"/>
      <w:bookmarkStart w:id="265" w:name="_Toc16278"/>
      <w:bookmarkStart w:id="266" w:name="_Toc20320"/>
      <w:bookmarkStart w:id="267" w:name="_Toc20566"/>
      <w:bookmarkStart w:id="268" w:name="_Toc31072"/>
      <w:bookmarkStart w:id="269" w:name="_Toc872"/>
      <w:bookmarkStart w:id="270" w:name="_Toc30107"/>
      <w:bookmarkStart w:id="271" w:name="_Toc11688"/>
      <w:bookmarkStart w:id="272" w:name="_Toc833"/>
      <w:bookmarkStart w:id="273" w:name="_Toc10318"/>
      <w:r>
        <w:rPr>
          <w:rFonts w:hint="default" w:ascii="Times New Roman" w:hAnsi="Times New Roman" w:eastAsia="宋体" w:cs="Times New Roman"/>
          <w:b/>
          <w:bCs/>
          <w:color w:val="auto"/>
          <w:sz w:val="56"/>
          <w:szCs w:val="56"/>
          <w:highlight w:val="none"/>
        </w:rPr>
        <w:t>电磁环境影响专题评价报告</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7D263D0">
      <w:pPr>
        <w:pStyle w:val="312"/>
        <w:spacing w:line="360" w:lineRule="auto"/>
        <w:ind w:firstLine="480"/>
        <w:rPr>
          <w:rFonts w:hint="default" w:ascii="Times New Roman" w:hAnsi="Times New Roman" w:eastAsia="宋体" w:cs="Times New Roman"/>
          <w:color w:val="auto"/>
          <w:highlight w:val="none"/>
        </w:rPr>
      </w:pPr>
    </w:p>
    <w:p w14:paraId="259CA6C4">
      <w:pPr>
        <w:pStyle w:val="312"/>
        <w:spacing w:line="360" w:lineRule="auto"/>
        <w:ind w:firstLine="480"/>
        <w:rPr>
          <w:rFonts w:hint="default" w:ascii="Times New Roman" w:hAnsi="Times New Roman" w:eastAsia="宋体" w:cs="Times New Roman"/>
          <w:color w:val="auto"/>
          <w:highlight w:val="none"/>
        </w:rPr>
      </w:pPr>
    </w:p>
    <w:p w14:paraId="67C2FA2D">
      <w:pPr>
        <w:pStyle w:val="312"/>
        <w:spacing w:line="360" w:lineRule="auto"/>
        <w:ind w:firstLine="480"/>
        <w:rPr>
          <w:rFonts w:hint="default" w:ascii="Times New Roman" w:hAnsi="Times New Roman" w:eastAsia="宋体" w:cs="Times New Roman"/>
          <w:color w:val="auto"/>
          <w:highlight w:val="none"/>
        </w:rPr>
      </w:pPr>
    </w:p>
    <w:p w14:paraId="19081CC7">
      <w:pPr>
        <w:pStyle w:val="312"/>
        <w:spacing w:line="360" w:lineRule="auto"/>
        <w:ind w:firstLine="480"/>
        <w:rPr>
          <w:rFonts w:hint="default" w:ascii="Times New Roman" w:hAnsi="Times New Roman" w:eastAsia="宋体" w:cs="Times New Roman"/>
          <w:color w:val="auto"/>
          <w:highlight w:val="none"/>
        </w:rPr>
      </w:pPr>
    </w:p>
    <w:p w14:paraId="3243B6D9">
      <w:pPr>
        <w:pStyle w:val="312"/>
        <w:spacing w:line="360" w:lineRule="auto"/>
        <w:ind w:firstLine="480"/>
        <w:rPr>
          <w:rFonts w:hint="default" w:ascii="Times New Roman" w:hAnsi="Times New Roman" w:eastAsia="宋体" w:cs="Times New Roman"/>
          <w:color w:val="auto"/>
          <w:highlight w:val="none"/>
        </w:rPr>
      </w:pPr>
    </w:p>
    <w:p w14:paraId="5C8F06E4">
      <w:pPr>
        <w:pStyle w:val="312"/>
        <w:spacing w:line="360" w:lineRule="auto"/>
        <w:ind w:firstLine="480"/>
        <w:rPr>
          <w:rFonts w:hint="default" w:ascii="Times New Roman" w:hAnsi="Times New Roman" w:eastAsia="宋体" w:cs="Times New Roman"/>
          <w:color w:val="auto"/>
          <w:highlight w:val="none"/>
        </w:rPr>
      </w:pPr>
    </w:p>
    <w:p w14:paraId="735FD6AF">
      <w:pPr>
        <w:pStyle w:val="312"/>
        <w:spacing w:line="360" w:lineRule="auto"/>
        <w:ind w:firstLine="480"/>
        <w:rPr>
          <w:rFonts w:hint="default" w:ascii="Times New Roman" w:hAnsi="Times New Roman" w:eastAsia="宋体" w:cs="Times New Roman"/>
          <w:color w:val="auto"/>
          <w:highlight w:val="none"/>
        </w:rPr>
      </w:pPr>
    </w:p>
    <w:p w14:paraId="6AF44CB8">
      <w:pPr>
        <w:pStyle w:val="312"/>
        <w:spacing w:line="360" w:lineRule="auto"/>
        <w:ind w:firstLine="480"/>
        <w:rPr>
          <w:rFonts w:hint="default" w:ascii="Times New Roman" w:hAnsi="Times New Roman" w:eastAsia="宋体" w:cs="Times New Roman"/>
          <w:color w:val="auto"/>
          <w:highlight w:val="none"/>
        </w:rPr>
      </w:pPr>
    </w:p>
    <w:p w14:paraId="712BCA91">
      <w:pPr>
        <w:pStyle w:val="312"/>
        <w:spacing w:line="360" w:lineRule="auto"/>
        <w:ind w:firstLine="480"/>
        <w:rPr>
          <w:rFonts w:hint="default" w:ascii="Times New Roman" w:hAnsi="Times New Roman" w:eastAsia="宋体" w:cs="Times New Roman"/>
          <w:color w:val="auto"/>
          <w:highlight w:val="none"/>
        </w:rPr>
      </w:pPr>
    </w:p>
    <w:p w14:paraId="4B4277F8">
      <w:pPr>
        <w:pStyle w:val="312"/>
        <w:spacing w:line="360" w:lineRule="auto"/>
        <w:ind w:firstLine="480"/>
        <w:rPr>
          <w:rFonts w:hint="default" w:ascii="Times New Roman" w:hAnsi="Times New Roman" w:eastAsia="宋体" w:cs="Times New Roman"/>
          <w:color w:val="auto"/>
          <w:highlight w:val="none"/>
        </w:rPr>
      </w:pPr>
    </w:p>
    <w:p w14:paraId="161FF384">
      <w:pPr>
        <w:pStyle w:val="312"/>
        <w:spacing w:line="360" w:lineRule="auto"/>
        <w:ind w:left="0" w:leftChars="0" w:firstLine="0" w:firstLineChars="0"/>
        <w:rPr>
          <w:rFonts w:hint="default" w:ascii="Times New Roman" w:hAnsi="Times New Roman" w:eastAsia="宋体" w:cs="Times New Roman"/>
          <w:color w:val="auto"/>
          <w:highlight w:val="none"/>
        </w:rPr>
      </w:pPr>
    </w:p>
    <w:p w14:paraId="0287C55E">
      <w:pPr>
        <w:pStyle w:val="312"/>
        <w:spacing w:line="360" w:lineRule="auto"/>
        <w:ind w:firstLine="480"/>
        <w:rPr>
          <w:rFonts w:hint="default" w:ascii="Times New Roman" w:hAnsi="Times New Roman" w:eastAsia="宋体" w:cs="Times New Roman"/>
          <w:color w:val="auto"/>
          <w:highlight w:val="none"/>
        </w:rPr>
      </w:pPr>
    </w:p>
    <w:p w14:paraId="228CE0FA">
      <w:pPr>
        <w:pStyle w:val="312"/>
        <w:spacing w:line="360" w:lineRule="auto"/>
        <w:ind w:firstLine="0" w:firstLineChars="0"/>
        <w:jc w:val="both"/>
        <w:rPr>
          <w:rFonts w:hint="default" w:ascii="Times New Roman" w:hAnsi="Times New Roman" w:eastAsia="宋体" w:cs="Times New Roman"/>
          <w:b/>
          <w:bCs w:val="0"/>
          <w:color w:val="auto"/>
          <w:spacing w:val="-20"/>
          <w:sz w:val="36"/>
          <w:szCs w:val="36"/>
          <w:highlight w:val="none"/>
        </w:rPr>
      </w:pPr>
    </w:p>
    <w:p w14:paraId="327B4380">
      <w:pPr>
        <w:pStyle w:val="312"/>
        <w:spacing w:line="360" w:lineRule="auto"/>
        <w:ind w:firstLine="0" w:firstLineChars="0"/>
        <w:jc w:val="center"/>
        <w:rPr>
          <w:rFonts w:hint="default" w:ascii="Times New Roman" w:hAnsi="Times New Roman" w:eastAsia="宋体" w:cs="Times New Roman"/>
          <w:b/>
          <w:bCs w:val="0"/>
          <w:color w:val="auto"/>
          <w:spacing w:val="-20"/>
          <w:sz w:val="36"/>
          <w:szCs w:val="36"/>
          <w:highlight w:val="none"/>
        </w:rPr>
      </w:pPr>
      <w:r>
        <w:rPr>
          <w:rFonts w:hint="default" w:ascii="Times New Roman" w:hAnsi="Times New Roman" w:eastAsia="宋体" w:cs="Times New Roman"/>
          <w:b/>
          <w:bCs w:val="0"/>
          <w:color w:val="auto"/>
          <w:spacing w:val="-20"/>
          <w:sz w:val="36"/>
          <w:szCs w:val="36"/>
          <w:highlight w:val="none"/>
        </w:rPr>
        <w:t>编制单位：</w:t>
      </w:r>
      <w:r>
        <w:rPr>
          <w:rFonts w:hint="default" w:ascii="Times New Roman" w:hAnsi="Times New Roman" w:eastAsia="宋体" w:cs="Times New Roman"/>
          <w:b/>
          <w:bCs w:val="0"/>
          <w:color w:val="auto"/>
          <w:spacing w:val="-20"/>
          <w:sz w:val="36"/>
          <w:szCs w:val="36"/>
          <w:highlight w:val="none"/>
          <w:lang w:eastAsia="zh-CN"/>
        </w:rPr>
        <w:t>云南境清环保咨询有限公司</w:t>
      </w:r>
    </w:p>
    <w:p w14:paraId="01CBB113">
      <w:pPr>
        <w:pStyle w:val="312"/>
        <w:spacing w:line="360" w:lineRule="auto"/>
        <w:ind w:left="0" w:leftChars="0" w:firstLine="0" w:firstLineChars="0"/>
        <w:jc w:val="center"/>
        <w:rPr>
          <w:rFonts w:hint="default" w:ascii="Times New Roman" w:hAnsi="Times New Roman" w:eastAsia="宋体" w:cs="Times New Roman"/>
          <w:b/>
          <w:bCs w:val="0"/>
          <w:color w:val="auto"/>
          <w:sz w:val="36"/>
          <w:szCs w:val="36"/>
          <w:highlight w:val="none"/>
        </w:rPr>
      </w:pPr>
      <w:r>
        <w:rPr>
          <w:rFonts w:hint="default" w:ascii="Times New Roman" w:hAnsi="Times New Roman" w:eastAsia="宋体" w:cs="Times New Roman"/>
          <w:b/>
          <w:bCs w:val="0"/>
          <w:color w:val="auto"/>
          <w:sz w:val="32"/>
          <w:szCs w:val="32"/>
          <w:highlight w:val="none"/>
        </w:rPr>
        <w:t>编制日期：202</w:t>
      </w:r>
      <w:r>
        <w:rPr>
          <w:rFonts w:hint="default" w:ascii="Times New Roman" w:hAnsi="Times New Roman" w:eastAsia="宋体" w:cs="Times New Roman"/>
          <w:b/>
          <w:bCs w:val="0"/>
          <w:color w:val="auto"/>
          <w:sz w:val="32"/>
          <w:szCs w:val="32"/>
          <w:highlight w:val="none"/>
          <w:lang w:val="en-US" w:eastAsia="zh-CN"/>
        </w:rPr>
        <w:t>4</w:t>
      </w:r>
      <w:r>
        <w:rPr>
          <w:rFonts w:hint="default" w:ascii="Times New Roman" w:hAnsi="Times New Roman" w:eastAsia="宋体" w:cs="Times New Roman"/>
          <w:b/>
          <w:bCs w:val="0"/>
          <w:color w:val="auto"/>
          <w:sz w:val="32"/>
          <w:szCs w:val="32"/>
          <w:highlight w:val="none"/>
        </w:rPr>
        <w:t>年</w:t>
      </w:r>
      <w:r>
        <w:rPr>
          <w:rFonts w:hint="default" w:ascii="Times New Roman" w:hAnsi="Times New Roman" w:eastAsia="宋体" w:cs="Times New Roman"/>
          <w:b/>
          <w:bCs w:val="0"/>
          <w:color w:val="auto"/>
          <w:sz w:val="32"/>
          <w:szCs w:val="32"/>
          <w:highlight w:val="none"/>
          <w:lang w:val="en-US" w:eastAsia="zh-CN"/>
        </w:rPr>
        <w:t>11</w:t>
      </w:r>
      <w:r>
        <w:rPr>
          <w:rFonts w:hint="default" w:ascii="Times New Roman" w:hAnsi="Times New Roman" w:eastAsia="宋体" w:cs="Times New Roman"/>
          <w:b/>
          <w:bCs w:val="0"/>
          <w:color w:val="auto"/>
          <w:sz w:val="32"/>
          <w:szCs w:val="32"/>
          <w:highlight w:val="none"/>
        </w:rPr>
        <w:t>月</w:t>
      </w:r>
    </w:p>
    <w:p w14:paraId="4ADD8317">
      <w:pPr>
        <w:pStyle w:val="313"/>
        <w:spacing w:before="0" w:after="0" w:line="360" w:lineRule="auto"/>
        <w:outlineLvl w:val="9"/>
        <w:rPr>
          <w:rFonts w:hint="default" w:ascii="Times New Roman" w:hAnsi="Times New Roman" w:eastAsia="宋体" w:cs="Times New Roman"/>
          <w:color w:val="auto"/>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bookmarkStart w:id="274" w:name="_Toc308022601"/>
      <w:bookmarkStart w:id="275" w:name="_Toc270525788"/>
      <w:bookmarkStart w:id="276" w:name="_Toc291178775"/>
      <w:bookmarkStart w:id="277" w:name="_Toc6905"/>
      <w:bookmarkStart w:id="278" w:name="_Toc592"/>
      <w:bookmarkStart w:id="279" w:name="_Toc309468131"/>
      <w:bookmarkStart w:id="280" w:name="_Toc4329"/>
      <w:bookmarkStart w:id="281" w:name="_Toc5261"/>
      <w:bookmarkStart w:id="282" w:name="_Toc292440985"/>
      <w:bookmarkStart w:id="283" w:name="_Toc275423930"/>
      <w:bookmarkStart w:id="284" w:name="_Toc366224138"/>
      <w:bookmarkStart w:id="285" w:name="_Toc15515"/>
      <w:bookmarkStart w:id="286" w:name="_Toc365913691"/>
      <w:bookmarkStart w:id="287" w:name="_Toc29295"/>
      <w:bookmarkStart w:id="288" w:name="_Toc26444"/>
      <w:bookmarkStart w:id="289" w:name="_Toc316568321"/>
      <w:bookmarkStart w:id="290" w:name="_Toc275351875"/>
      <w:bookmarkStart w:id="291" w:name="_Toc353629940"/>
      <w:bookmarkStart w:id="292" w:name="_Toc275365730"/>
      <w:bookmarkStart w:id="293" w:name="_Toc291252929"/>
      <w:bookmarkStart w:id="294" w:name="_Toc15263"/>
      <w:bookmarkStart w:id="295" w:name="_Toc14939"/>
      <w:bookmarkStart w:id="296" w:name="_Toc21845"/>
      <w:bookmarkStart w:id="297" w:name="_Toc9785"/>
      <w:bookmarkStart w:id="298" w:name="_Toc353630004"/>
      <w:bookmarkStart w:id="299" w:name="_Toc2369790"/>
      <w:bookmarkStart w:id="300" w:name="_Toc340387893"/>
      <w:bookmarkStart w:id="301" w:name="_Toc482"/>
      <w:bookmarkStart w:id="302" w:name="_Toc275544373"/>
      <w:bookmarkStart w:id="303" w:name="_Toc314504951"/>
      <w:bookmarkStart w:id="304" w:name="_Toc6594"/>
      <w:bookmarkStart w:id="305" w:name="_Toc31628"/>
      <w:bookmarkStart w:id="306" w:name="_Toc306789133"/>
      <w:bookmarkStart w:id="307" w:name="_Toc23138"/>
      <w:bookmarkStart w:id="308" w:name="_Toc14273"/>
      <w:bookmarkStart w:id="309" w:name="_Toc411460441"/>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sdt>
      <w:sdtPr>
        <w:rPr>
          <w:rFonts w:hint="default" w:ascii="Times New Roman" w:hAnsi="Times New Roman" w:eastAsia="宋体" w:cs="Times New Roman"/>
          <w:b/>
          <w:bCs/>
          <w:color w:val="auto"/>
          <w:kern w:val="2"/>
          <w:sz w:val="36"/>
          <w:szCs w:val="36"/>
          <w:highlight w:val="none"/>
          <w:lang w:val="en-US" w:eastAsia="zh-CN" w:bidi="ar-SA"/>
        </w:rPr>
        <w:id w:val="147468203"/>
        <w15:color w:val="DBDBDB"/>
        <w:docPartObj>
          <w:docPartGallery w:val="Table of Contents"/>
          <w:docPartUnique/>
        </w:docPartObj>
      </w:sdtPr>
      <w:sdtEndPr>
        <w:rPr>
          <w:rFonts w:hint="default" w:ascii="Times New Roman" w:hAnsi="Times New Roman" w:eastAsia="宋体" w:cs="Times New Roman"/>
          <w:b/>
          <w:bCs/>
          <w:color w:val="auto"/>
          <w:kern w:val="44"/>
          <w:sz w:val="30"/>
          <w:szCs w:val="30"/>
          <w:highlight w:val="none"/>
          <w:lang w:val="en-US" w:eastAsia="zh-CN" w:bidi="ar-SA"/>
        </w:rPr>
      </w:sdtEndPr>
      <w:sdtContent>
        <w:p w14:paraId="6E18C5BA">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36"/>
              <w:szCs w:val="36"/>
              <w:highlight w:val="none"/>
            </w:rPr>
          </w:pPr>
          <w:bookmarkStart w:id="310" w:name="_Toc13101"/>
          <w:bookmarkStart w:id="311" w:name="_Toc30961"/>
          <w:bookmarkStart w:id="312" w:name="_Toc11381"/>
          <w:bookmarkStart w:id="313" w:name="_Toc8971"/>
          <w:bookmarkStart w:id="314" w:name="_Toc6003"/>
          <w:bookmarkStart w:id="315" w:name="_Toc18429"/>
          <w:bookmarkStart w:id="316" w:name="_Toc15324"/>
          <w:r>
            <w:rPr>
              <w:rFonts w:hint="default" w:ascii="Times New Roman" w:hAnsi="Times New Roman" w:eastAsia="宋体" w:cs="Times New Roman"/>
              <w:b/>
              <w:bCs/>
              <w:color w:val="auto"/>
              <w:sz w:val="36"/>
              <w:szCs w:val="36"/>
              <w:highlight w:val="none"/>
            </w:rPr>
            <w:t>目录</w:t>
          </w:r>
        </w:p>
        <w:p w14:paraId="7A493B6E">
          <w:pPr>
            <w:pStyle w:val="341"/>
            <w:tabs>
              <w:tab w:val="right" w:leader="dot" w:pos="8306"/>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TOC \o "1-3" \h \u </w:instrText>
          </w:r>
          <w:r>
            <w:rPr>
              <w:rFonts w:hint="default" w:ascii="Times New Roman" w:hAnsi="Times New Roman" w:eastAsia="宋体" w:cs="Times New Roman"/>
              <w:color w:val="auto"/>
              <w:highlight w:val="none"/>
            </w:rPr>
            <w:fldChar w:fldCharType="separate"/>
          </w:r>
        </w:p>
        <w:p w14:paraId="7F47C30E">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_Toc22129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1、前言</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_Toc22129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- 1 -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446175C0">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_Toc16826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2、总则</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_Toc16826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- 3 -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4A4AD714">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_Toc10273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2.1 编制依据</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_Toc10273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- 3 -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62CF5FC8">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_Toc12437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2.1.1 法律、法规</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_Toc12437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- 3 -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16254818">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_Toc1775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2.1.2 环境影响评价有关标准、技术规程</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_Toc1775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- 3 -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519CBC08">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_Toc3248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2.2评价因子、评价标准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_Toc3248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- 4 -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B030BEF">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_Toc6445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2.2.1 评价因子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_Toc6445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- 4 -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6C98F38">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_Toc12777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2.2.2 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_Toc12777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- 4 -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7501D41A">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_Toc9932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2.3评价工作等级</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_Toc9932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- 5 -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C83CDCD">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_Toc24013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2.4评价范围及方法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_Toc24013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- 5 -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6EBF2270">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_Toc16129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 电磁环境保护目标</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_Toc16129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- 5 -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1BD50DB0">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_Toc29484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2.6评价重点</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_Toc29484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- 5 -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9D6B983">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_Toc20483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3、工程概况及工程分析</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_Toc20483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- 6 -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42351F24">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_Toc2922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3.1 工程概况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_Toc2922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- 6 -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7AA96EF">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_Toc27042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3.2电磁环境影响因素识别</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_Toc27042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- 6 -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258F4E37">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_Toc19234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4、电磁环境影响现状调查与评价</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_Toc19234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- 11 -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46F50298">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_Toc27092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sz w:val="24"/>
              <w:szCs w:val="24"/>
              <w:highlight w:val="none"/>
            </w:rPr>
            <w:t>4.1电磁环境现状监测布点及合理性分析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_Toc27092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- 11 -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C56216D">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_Toc23833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sz w:val="24"/>
              <w:szCs w:val="24"/>
              <w:highlight w:val="none"/>
            </w:rPr>
            <w:t>4.2监测工况、监测仪器状况及气象条件</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_Toc23833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- 11 -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1ED6F73">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_Toc2664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sz w:val="24"/>
              <w:szCs w:val="24"/>
              <w:highlight w:val="none"/>
            </w:rPr>
            <w:t>4.3电磁环境现状监测结果</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_Toc2664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- 12 -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2BCA374D">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_Toc19861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5、电磁环境影响预测与评价</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_Toc19861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- 14 -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7637BCF6">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_Toc16757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sz w:val="24"/>
              <w:szCs w:val="24"/>
              <w:highlight w:val="none"/>
            </w:rPr>
            <w:t>5.1 评价因子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_Toc16757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- 14 -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7001324">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_Toc4492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sz w:val="24"/>
              <w:szCs w:val="24"/>
              <w:highlight w:val="none"/>
            </w:rPr>
            <w:t>5.2 评价方法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_Toc4492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- 14 -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5B78F0FA">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_Toc12881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sz w:val="24"/>
              <w:szCs w:val="24"/>
              <w:highlight w:val="none"/>
            </w:rPr>
            <w:t xml:space="preserve">5.3 </w:t>
          </w:r>
          <w:r>
            <w:rPr>
              <w:rFonts w:hint="default" w:ascii="Times New Roman" w:hAnsi="Times New Roman" w:eastAsia="宋体" w:cs="Times New Roman"/>
              <w:color w:val="auto"/>
              <w:sz w:val="24"/>
              <w:szCs w:val="24"/>
              <w:highlight w:val="none"/>
            </w:rPr>
            <w:t>电磁环境影响预测</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_Toc12881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- 14 -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7A0B6A6A">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_Toc8276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6、电磁辐射环境保护措施及监测计划</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_Toc8276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- 18 -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693F5257">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_Toc6917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6.1 电磁环境保护措施</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_Toc6917 \h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- 18 -</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14:paraId="4932245D">
          <w:pPr>
            <w:pStyle w:val="34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_Toc31667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6.2 电磁环境监测计划</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_Toc31667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- 18 -</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E057379">
          <w:pPr>
            <w:pStyle w:val="34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_Toc19098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7、评价结论</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_Toc19098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- 20 -</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408EEB35">
          <w:pPr>
            <w:pStyle w:val="313"/>
            <w:pageBreakBefore w:val="0"/>
            <w:widowControl w:val="0"/>
            <w:kinsoku/>
            <w:wordWrap/>
            <w:overflowPunct/>
            <w:topLinePunct w:val="0"/>
            <w:autoSpaceDE/>
            <w:autoSpaceDN/>
            <w:bidi w:val="0"/>
            <w:adjustRightInd/>
            <w:snapToGrid/>
            <w:spacing w:before="0" w:after="0" w:line="269" w:lineRule="auto"/>
            <w:jc w:val="both"/>
            <w:outlineLvl w:val="9"/>
            <w:rPr>
              <w:rFonts w:hint="default" w:ascii="Times New Roman" w:hAnsi="Times New Roman" w:eastAsia="宋体" w:cs="Times New Roman"/>
              <w:b/>
              <w:bCs/>
              <w:color w:val="auto"/>
              <w:kern w:val="44"/>
              <w:sz w:val="30"/>
              <w:szCs w:val="30"/>
              <w:highlight w:val="none"/>
              <w:lang w:val="en-US" w:eastAsia="zh-CN" w:bidi="ar-SA"/>
            </w:rPr>
          </w:pPr>
          <w:r>
            <w:rPr>
              <w:rFonts w:hint="default" w:ascii="Times New Roman" w:hAnsi="Times New Roman" w:eastAsia="宋体" w:cs="Times New Roman"/>
              <w:color w:val="auto"/>
              <w:highlight w:val="none"/>
            </w:rPr>
            <w:fldChar w:fldCharType="end"/>
          </w:r>
        </w:p>
      </w:sdtContent>
    </w:sdt>
    <w:p w14:paraId="67A5FFCC">
      <w:pPr>
        <w:pStyle w:val="313"/>
        <w:pageBreakBefore w:val="0"/>
        <w:widowControl w:val="0"/>
        <w:kinsoku/>
        <w:wordWrap/>
        <w:overflowPunct/>
        <w:topLinePunct w:val="0"/>
        <w:autoSpaceDE/>
        <w:autoSpaceDN/>
        <w:bidi w:val="0"/>
        <w:adjustRightInd/>
        <w:snapToGrid/>
        <w:spacing w:before="0" w:after="0" w:line="269" w:lineRule="auto"/>
        <w:outlineLvl w:val="9"/>
        <w:rPr>
          <w:rFonts w:hint="default" w:ascii="Times New Roman" w:hAnsi="Times New Roman" w:eastAsia="宋体" w:cs="Times New Roman"/>
          <w:b/>
          <w:bCs/>
          <w:color w:val="auto"/>
          <w:kern w:val="44"/>
          <w:sz w:val="30"/>
          <w:szCs w:val="30"/>
          <w:highlight w:val="none"/>
          <w:lang w:val="en-US" w:eastAsia="zh-CN" w:bidi="ar-SA"/>
        </w:rPr>
        <w:sectPr>
          <w:footerReference r:id="rId9" w:type="default"/>
          <w:footerReference r:id="rId10" w:type="even"/>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p>
    <w:p w14:paraId="0C4569B1">
      <w:pPr>
        <w:pStyle w:val="313"/>
        <w:spacing w:before="31" w:beforeLines="10" w:after="31" w:afterLines="10"/>
        <w:jc w:val="left"/>
        <w:outlineLvl w:val="1"/>
        <w:rPr>
          <w:rFonts w:hint="default" w:ascii="Times New Roman" w:hAnsi="Times New Roman" w:eastAsia="宋体" w:cs="Times New Roman"/>
          <w:color w:val="auto"/>
          <w:highlight w:val="none"/>
        </w:rPr>
      </w:pPr>
      <w:bookmarkStart w:id="317" w:name="_Toc6685"/>
      <w:bookmarkStart w:id="318" w:name="_Toc14924"/>
      <w:bookmarkStart w:id="319" w:name="_Toc1248"/>
      <w:bookmarkStart w:id="320" w:name="_Toc22129"/>
      <w:bookmarkStart w:id="321" w:name="_Toc8363"/>
      <w:bookmarkStart w:id="322" w:name="_Toc14533"/>
      <w:r>
        <w:rPr>
          <w:rFonts w:hint="default" w:ascii="Times New Roman" w:hAnsi="Times New Roman" w:eastAsia="宋体" w:cs="Times New Roman"/>
          <w:color w:val="auto"/>
          <w:highlight w:val="none"/>
        </w:rPr>
        <w:t>1、前言</w:t>
      </w:r>
      <w:bookmarkEnd w:id="310"/>
      <w:bookmarkEnd w:id="311"/>
      <w:bookmarkEnd w:id="312"/>
      <w:bookmarkEnd w:id="313"/>
      <w:bookmarkEnd w:id="314"/>
      <w:bookmarkEnd w:id="315"/>
      <w:bookmarkEnd w:id="316"/>
      <w:bookmarkEnd w:id="317"/>
      <w:bookmarkEnd w:id="318"/>
      <w:bookmarkEnd w:id="319"/>
      <w:bookmarkEnd w:id="320"/>
      <w:bookmarkEnd w:id="321"/>
      <w:bookmarkEnd w:id="322"/>
    </w:p>
    <w:p w14:paraId="32BE3A27">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2022年2月28日，禄劝万佳光伏发电有限公司取得</w:t>
      </w:r>
      <w:r>
        <w:rPr>
          <w:rFonts w:hint="default" w:ascii="Times New Roman" w:hAnsi="Times New Roman" w:eastAsia="宋体" w:cs="Times New Roman"/>
          <w:color w:val="auto"/>
          <w:sz w:val="24"/>
          <w:szCs w:val="24"/>
          <w:highlight w:val="none"/>
        </w:rPr>
        <w:t>中清能禄劝县岩子头200MW生态修复光伏电站项目</w:t>
      </w:r>
      <w:r>
        <w:rPr>
          <w:rFonts w:hint="eastAsia" w:cs="Times New Roman"/>
          <w:color w:val="auto"/>
          <w:sz w:val="24"/>
          <w:szCs w:val="24"/>
          <w:highlight w:val="none"/>
          <w:lang w:val="en-US" w:eastAsia="zh-CN"/>
        </w:rPr>
        <w:t>取得云南省固定资产投资项目备案证，该项目建设内容为：装机容量200MW，年平均发电量为28000万kW·h，运营期限25年，工程主要由光伏阵列、逆变器、箱式变压器、升压站、房屋建筑及输配电工程组成。取得备案证后，由于项目名称发生变更，</w:t>
      </w:r>
      <w:r>
        <w:rPr>
          <w:rFonts w:hint="eastAsia" w:cs="Times New Roman"/>
          <w:color w:val="auto"/>
          <w:kern w:val="0"/>
          <w:sz w:val="24"/>
          <w:szCs w:val="24"/>
          <w:highlight w:val="none"/>
          <w:lang w:val="en-US" w:eastAsia="zh-CN"/>
        </w:rPr>
        <w:t>禄劝万佳光伏发电有限公司于</w:t>
      </w:r>
      <w:r>
        <w:rPr>
          <w:rFonts w:hint="eastAsia" w:cs="Times New Roman"/>
          <w:color w:val="auto"/>
          <w:sz w:val="24"/>
          <w:szCs w:val="24"/>
          <w:highlight w:val="none"/>
          <w:lang w:val="en-US" w:eastAsia="zh-CN"/>
        </w:rPr>
        <w:t>2023年5月29日申请进行了备案证变更，变更后该项目名称由“</w:t>
      </w:r>
      <w:r>
        <w:rPr>
          <w:rFonts w:hint="default" w:ascii="Times New Roman" w:hAnsi="Times New Roman" w:eastAsia="宋体" w:cs="Times New Roman"/>
          <w:color w:val="auto"/>
          <w:sz w:val="24"/>
          <w:szCs w:val="24"/>
          <w:highlight w:val="none"/>
        </w:rPr>
        <w:t>中清能禄劝县岩子头200MW生态修复光伏电站项目</w:t>
      </w:r>
      <w:r>
        <w:rPr>
          <w:rFonts w:hint="eastAsia" w:cs="Times New Roman"/>
          <w:color w:val="auto"/>
          <w:sz w:val="24"/>
          <w:szCs w:val="24"/>
          <w:highlight w:val="none"/>
          <w:lang w:val="en-US" w:eastAsia="zh-CN"/>
        </w:rPr>
        <w:t>”变更为“岩子头生态修复光伏电站”，具体建设内容则不变。</w:t>
      </w:r>
      <w:r>
        <w:rPr>
          <w:rFonts w:hint="default" w:ascii="Times New Roman" w:hAnsi="Times New Roman" w:eastAsia="宋体" w:cs="Times New Roman"/>
          <w:color w:val="auto"/>
          <w:kern w:val="0"/>
          <w:sz w:val="24"/>
          <w:szCs w:val="24"/>
          <w:highlight w:val="none"/>
          <w:lang w:val="en-US" w:eastAsia="zh-CN"/>
        </w:rPr>
        <w:t>2023年6月，禄劝万佳光伏发电有限公司委托云南建环环保科技有限公司编制《</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》，并于2023年11月2日取得昆明市生态环境局禄劝分局关于《</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环境影响报告表的批复</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禄生环复〔2023〕17号</w:t>
      </w:r>
      <w:r>
        <w:rPr>
          <w:rFonts w:hint="default" w:ascii="Times New Roman" w:hAnsi="Times New Roman" w:eastAsia="宋体" w:cs="Times New Roman"/>
          <w:color w:val="auto"/>
          <w:kern w:val="0"/>
          <w:sz w:val="24"/>
          <w:szCs w:val="24"/>
          <w:highlight w:val="none"/>
          <w:lang w:val="en-US" w:eastAsia="zh-CN"/>
        </w:rPr>
        <w:t>）（详见附件8）；根据调查，</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已建设完工并于2024年6月投入试运行，</w:t>
      </w:r>
      <w:r>
        <w:rPr>
          <w:rFonts w:hint="default" w:ascii="Times New Roman" w:hAnsi="Times New Roman" w:eastAsia="宋体" w:cs="Times New Roman"/>
          <w:color w:val="auto"/>
          <w:kern w:val="0"/>
          <w:sz w:val="24"/>
          <w:szCs w:val="24"/>
          <w:highlight w:val="none"/>
          <w:lang w:val="en-US" w:eastAsia="zh-CN"/>
        </w:rPr>
        <w:t>目前</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正在开展中竣工环境保护验收工作</w:t>
      </w:r>
      <w:r>
        <w:rPr>
          <w:rFonts w:hint="default" w:ascii="Times New Roman" w:hAnsi="Times New Roman" w:eastAsia="宋体" w:cs="Times New Roman"/>
          <w:color w:val="auto"/>
          <w:kern w:val="0"/>
          <w:sz w:val="24"/>
          <w:szCs w:val="24"/>
          <w:highlight w:val="none"/>
          <w:lang w:val="en-US" w:eastAsia="zh-CN"/>
        </w:rPr>
        <w:t>。</w:t>
      </w:r>
    </w:p>
    <w:p w14:paraId="2B8154A4">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根据《</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》及昆明市生态环境局禄劝分局关于《</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环境影响报告表的批复</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禄生环复〔2023〕17号</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kern w:val="0"/>
          <w:sz w:val="24"/>
          <w:szCs w:val="24"/>
          <w:highlight w:val="none"/>
        </w:rPr>
        <w:t>主要由光伏阵列区</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农/林光互补方案</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kern w:val="0"/>
          <w:sz w:val="24"/>
          <w:szCs w:val="24"/>
          <w:highlight w:val="none"/>
        </w:rPr>
        <w:t>升压站</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除电磁辐射</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及相关配套设施等</w:t>
      </w:r>
      <w:r>
        <w:rPr>
          <w:rFonts w:hint="default" w:ascii="Times New Roman" w:hAnsi="Times New Roman" w:eastAsia="宋体" w:cs="Times New Roman"/>
          <w:color w:val="auto"/>
          <w:sz w:val="24"/>
          <w:szCs w:val="24"/>
          <w:highlight w:val="none"/>
        </w:rPr>
        <w:t>组成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kern w:val="0"/>
          <w:sz w:val="24"/>
          <w:szCs w:val="24"/>
          <w:highlight w:val="none"/>
        </w:rPr>
        <w:t>光伏阵列区</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农/林光互补方案</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kern w:val="0"/>
          <w:sz w:val="24"/>
          <w:szCs w:val="24"/>
          <w:highlight w:val="none"/>
        </w:rPr>
        <w:t>升压站</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除电磁辐射</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及相关配套设施均已在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》中进行评价，该报告表及其环评批复中明确指出：</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评价内容包含</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lang w:val="en-US" w:eastAsia="zh-CN"/>
        </w:rPr>
        <w:t>土建、主体工程及配套设施等相关内容，但升压站</w:t>
      </w:r>
      <w:r>
        <w:rPr>
          <w:rFonts w:hint="default" w:ascii="Times New Roman" w:hAnsi="Times New Roman" w:eastAsia="宋体" w:cs="Times New Roman"/>
          <w:color w:val="auto"/>
          <w:sz w:val="24"/>
          <w:szCs w:val="24"/>
          <w:highlight w:val="none"/>
        </w:rPr>
        <w:t>电磁辐射环评及输电线路</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单独进行评价。</w:t>
      </w:r>
    </w:p>
    <w:p w14:paraId="2C4A7751">
      <w:p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根据调查，</w:t>
      </w:r>
      <w:r>
        <w:rPr>
          <w:rFonts w:hint="default" w:ascii="Times New Roman" w:hAnsi="Times New Roman" w:eastAsia="宋体" w:cs="Times New Roman"/>
          <w:color w:val="auto"/>
          <w:sz w:val="24"/>
          <w:szCs w:val="24"/>
          <w:highlight w:val="none"/>
        </w:rPr>
        <w:t>输电线路</w:t>
      </w:r>
      <w:r>
        <w:rPr>
          <w:rFonts w:hint="default" w:ascii="Times New Roman" w:hAnsi="Times New Roman" w:eastAsia="宋体" w:cs="Times New Roman"/>
          <w:color w:val="auto"/>
          <w:sz w:val="24"/>
          <w:szCs w:val="24"/>
          <w:highlight w:val="none"/>
          <w:lang w:val="en-US" w:eastAsia="zh-CN"/>
        </w:rPr>
        <w:t>部分工程（岩子头生态修复光伏电站220kV永久送出线路工程）已按要求办理相关环保手续，并</w:t>
      </w:r>
      <w:r>
        <w:rPr>
          <w:rFonts w:hint="eastAsia" w:cs="Times New Roman"/>
          <w:color w:val="auto"/>
          <w:sz w:val="24"/>
          <w:szCs w:val="24"/>
          <w:highlight w:val="none"/>
          <w:lang w:val="en-US" w:eastAsia="zh-CN"/>
        </w:rPr>
        <w:t>已取得环评批复。</w:t>
      </w:r>
    </w:p>
    <w:p w14:paraId="025FCA2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本次环境影响评价对象为</w:t>
      </w:r>
      <w:r>
        <w:rPr>
          <w:rFonts w:hint="eastAsia" w:cs="Times New Roman"/>
          <w:b w:val="0"/>
          <w:bCs w:val="0"/>
          <w:color w:val="auto"/>
          <w:kern w:val="0"/>
          <w:sz w:val="24"/>
          <w:szCs w:val="24"/>
          <w:highlight w:val="none"/>
          <w:lang w:val="en-US" w:eastAsia="zh-CN" w:bidi="ar-SA"/>
        </w:rPr>
        <w:t>220kV升压站</w:t>
      </w:r>
      <w:r>
        <w:rPr>
          <w:rFonts w:hint="default" w:ascii="Times New Roman" w:hAnsi="Times New Roman" w:eastAsia="宋体" w:cs="Times New Roman"/>
          <w:color w:val="auto"/>
          <w:sz w:val="24"/>
          <w:szCs w:val="24"/>
          <w:highlight w:val="none"/>
        </w:rPr>
        <w:t>电磁辐射</w:t>
      </w:r>
      <w:r>
        <w:rPr>
          <w:rFonts w:hint="eastAsia" w:cs="Times New Roman"/>
          <w:color w:val="auto"/>
          <w:sz w:val="24"/>
          <w:szCs w:val="24"/>
          <w:highlight w:val="none"/>
          <w:lang w:val="en-US" w:eastAsia="zh-CN"/>
        </w:rPr>
        <w:t>部分内容，即“岩子头生态修复光伏电站</w:t>
      </w:r>
      <w:r>
        <w:rPr>
          <w:rFonts w:hint="eastAsia" w:cs="Times New Roman"/>
          <w:b w:val="0"/>
          <w:bCs w:val="0"/>
          <w:color w:val="auto"/>
          <w:kern w:val="0"/>
          <w:sz w:val="24"/>
          <w:szCs w:val="24"/>
          <w:highlight w:val="none"/>
          <w:lang w:val="en-US" w:eastAsia="zh-CN" w:bidi="ar-SA"/>
        </w:rPr>
        <w:t>220kV升压站</w:t>
      </w:r>
      <w:r>
        <w:rPr>
          <w:rFonts w:hint="eastAsia" w:cs="Times New Roman"/>
          <w:color w:val="auto"/>
          <w:sz w:val="24"/>
          <w:szCs w:val="24"/>
          <w:highlight w:val="none"/>
          <w:lang w:val="en-US" w:eastAsia="zh-CN"/>
        </w:rPr>
        <w:t>”（以下称“本项目”）</w:t>
      </w:r>
      <w:r>
        <w:rPr>
          <w:rFonts w:hint="default" w:ascii="Times New Roman" w:hAnsi="Times New Roman" w:eastAsia="宋体" w:cs="Times New Roman"/>
          <w:color w:val="auto"/>
          <w:sz w:val="24"/>
          <w:szCs w:val="24"/>
          <w:highlight w:val="none"/>
        </w:rPr>
        <w:t>电磁辐射</w:t>
      </w:r>
      <w:r>
        <w:rPr>
          <w:rFonts w:hint="eastAsia" w:cs="Times New Roman"/>
          <w:color w:val="auto"/>
          <w:sz w:val="24"/>
          <w:szCs w:val="24"/>
          <w:highlight w:val="none"/>
          <w:lang w:val="en-US" w:eastAsia="zh-CN"/>
        </w:rPr>
        <w:t>部分内容，岩子头生态修复光伏电站</w:t>
      </w:r>
      <w:r>
        <w:rPr>
          <w:rFonts w:hint="eastAsia" w:cs="Times New Roman"/>
          <w:b w:val="0"/>
          <w:bCs w:val="0"/>
          <w:color w:val="auto"/>
          <w:kern w:val="0"/>
          <w:sz w:val="24"/>
          <w:szCs w:val="24"/>
          <w:highlight w:val="none"/>
          <w:lang w:val="en-US" w:eastAsia="zh-CN" w:bidi="ar-SA"/>
        </w:rPr>
        <w:t>220kV升压站</w:t>
      </w:r>
      <w:r>
        <w:rPr>
          <w:rFonts w:hint="default" w:ascii="Times New Roman" w:hAnsi="Times New Roman" w:eastAsia="宋体" w:cs="Times New Roman"/>
          <w:color w:val="auto"/>
          <w:sz w:val="24"/>
          <w:highlight w:val="none"/>
          <w:lang w:val="en-US" w:eastAsia="zh-CN"/>
        </w:rPr>
        <w:t>位于昆明市禄劝县团街镇境内，由禄劝万佳光伏发电有限公司投资建设，</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由于220kV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lang w:val="en-US" w:eastAsia="zh-CN"/>
        </w:rPr>
        <w:t>，以及升压站建设期和运营期“三废”、噪声、生态环境影响及环境风险分析等相关内容均已在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p>
    <w:p w14:paraId="0FE451CC">
      <w:pPr>
        <w:pStyle w:val="312"/>
        <w:keepNext w:val="0"/>
        <w:keepLines w:val="0"/>
        <w:pageBreakBefore w:val="0"/>
        <w:widowControl w:val="0"/>
        <w:kinsoku/>
        <w:wordWrap/>
        <w:overflowPunct/>
        <w:topLinePunct w:val="0"/>
        <w:autoSpaceDE/>
        <w:autoSpaceDN/>
        <w:bidi w:val="0"/>
        <w:snapToGrid/>
        <w:spacing w:line="351" w:lineRule="auto"/>
        <w:ind w:firstLine="480"/>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color w:val="auto"/>
          <w:sz w:val="24"/>
          <w:szCs w:val="22"/>
          <w:highlight w:val="none"/>
          <w:lang w:val="en-US" w:eastAsia="zh-CN"/>
        </w:rPr>
        <w:t>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已于2023年11月开工建设，于2024年3月建设完工，于2024年6月投入试运行。</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sz w:val="24"/>
          <w:highlight w:val="none"/>
          <w:lang w:val="en-US" w:eastAsia="zh-CN"/>
        </w:rPr>
        <w:t>升压站占地面积</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项目已建主要建设内容主要包括：综合楼、附属用房、电气预制舱、1台</w:t>
      </w:r>
      <w:r>
        <w:rPr>
          <w:rFonts w:hint="default" w:ascii="Times New Roman" w:hAnsi="Times New Roman" w:eastAsia="宋体" w:cs="Times New Roman"/>
          <w:snapToGrid w:val="0"/>
          <w:color w:val="auto"/>
          <w:kern w:val="0"/>
          <w:sz w:val="24"/>
          <w:szCs w:val="24"/>
          <w:highlight w:val="none"/>
          <w:lang w:val="en-US" w:eastAsia="zh-CN" w:bidi="ar-SA"/>
        </w:rPr>
        <w:t>200MVA</w:t>
      </w:r>
      <w:r>
        <w:rPr>
          <w:rFonts w:hint="default" w:ascii="Times New Roman" w:hAnsi="Times New Roman" w:eastAsia="宋体" w:cs="Times New Roman"/>
          <w:color w:val="auto"/>
          <w:sz w:val="24"/>
          <w:szCs w:val="24"/>
          <w:highlight w:val="none"/>
          <w:vertAlign w:val="baseline"/>
          <w:lang w:val="en-US" w:eastAsia="zh-CN"/>
        </w:rPr>
        <w:t>主变压器、GIS及出线构架、SVG户外成套装置及相关配套设施。因此，</w:t>
      </w:r>
      <w:r>
        <w:rPr>
          <w:rFonts w:hint="default" w:ascii="Times New Roman" w:hAnsi="Times New Roman" w:eastAsia="宋体" w:cs="Times New Roman"/>
          <w:snapToGrid w:val="0"/>
          <w:color w:val="auto"/>
          <w:kern w:val="0"/>
          <w:sz w:val="24"/>
          <w:szCs w:val="24"/>
          <w:highlight w:val="none"/>
          <w:lang w:val="en-US" w:eastAsia="zh-CN" w:bidi="ar-SA"/>
        </w:rPr>
        <w:t>本次环境影响评价内容为升压站已建1台200MVA主变压器及相关设施运行所产生的电磁辐射相关内容。</w:t>
      </w:r>
    </w:p>
    <w:p w14:paraId="58052B40">
      <w:pPr>
        <w:pStyle w:val="312"/>
        <w:keepNext w:val="0"/>
        <w:keepLines w:val="0"/>
        <w:pageBreakBefore w:val="0"/>
        <w:widowControl w:val="0"/>
        <w:kinsoku/>
        <w:wordWrap/>
        <w:overflowPunct/>
        <w:topLinePunct w:val="0"/>
        <w:autoSpaceDE/>
        <w:autoSpaceDN/>
        <w:bidi w:val="0"/>
        <w:snapToGrid/>
        <w:spacing w:line="351"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sz w:val="24"/>
          <w:highlight w:val="none"/>
          <w:lang w:val="en-US" w:eastAsia="zh-CN"/>
        </w:rPr>
        <w:t>禄劝万佳光伏发电有限公司</w:t>
      </w:r>
      <w:r>
        <w:rPr>
          <w:rFonts w:hint="default" w:ascii="Times New Roman" w:hAnsi="Times New Roman" w:eastAsia="宋体" w:cs="Times New Roman"/>
          <w:color w:val="auto"/>
          <w:highlight w:val="none"/>
        </w:rPr>
        <w:t>委托</w:t>
      </w:r>
      <w:r>
        <w:rPr>
          <w:rFonts w:hint="default" w:ascii="Times New Roman" w:hAnsi="Times New Roman" w:eastAsia="宋体" w:cs="Times New Roman"/>
          <w:color w:val="auto"/>
          <w:highlight w:val="none"/>
          <w:lang w:eastAsia="zh-CN"/>
        </w:rPr>
        <w:t>云南境清环保咨询有限公司</w:t>
      </w:r>
      <w:r>
        <w:rPr>
          <w:rFonts w:hint="default" w:ascii="Times New Roman" w:hAnsi="Times New Roman" w:eastAsia="宋体" w:cs="Times New Roman"/>
          <w:color w:val="auto"/>
          <w:highlight w:val="none"/>
        </w:rPr>
        <w:t>承担本项目的环境影响评价工作。接受评价任务后，评价人员首先对项目设计资料进行了研究分析，初步掌握了项目的工程特性以及项目所在地区的地形地貌、气象水文、地质情况等自然环境状况，在此基础上明确了本项目环境影响评价重点，对下一步评价工作做出了安排，并进行了组织分工。</w:t>
      </w:r>
      <w:r>
        <w:rPr>
          <w:rFonts w:hint="default" w:ascii="Times New Roman" w:hAnsi="Times New Roman" w:eastAsia="宋体" w:cs="Times New Roman"/>
          <w:color w:val="auto"/>
          <w:sz w:val="24"/>
          <w:highlight w:val="none"/>
          <w:lang w:val="en-US" w:eastAsia="zh-CN"/>
        </w:rPr>
        <w:t>接受委托后，</w:t>
      </w:r>
      <w:r>
        <w:rPr>
          <w:rFonts w:hint="default" w:ascii="Times New Roman" w:hAnsi="Times New Roman" w:eastAsia="宋体" w:cs="Times New Roman"/>
          <w:color w:val="auto"/>
          <w:highlight w:val="none"/>
        </w:rPr>
        <w:t>评价人员对项目工程区域及评价范围进行了现场踏勘和资料收集；</w:t>
      </w:r>
      <w:r>
        <w:rPr>
          <w:rFonts w:hint="default" w:ascii="Times New Roman" w:hAnsi="Times New Roman" w:eastAsia="宋体" w:cs="Times New Roman"/>
          <w:color w:val="auto"/>
          <w:highlight w:val="none"/>
          <w:lang w:val="en-US" w:eastAsia="zh-CN"/>
        </w:rPr>
        <w:t>建设单位</w:t>
      </w:r>
      <w:r>
        <w:rPr>
          <w:rFonts w:hint="default" w:ascii="Times New Roman" w:hAnsi="Times New Roman" w:eastAsia="宋体" w:cs="Times New Roman"/>
          <w:color w:val="auto"/>
          <w:highlight w:val="none"/>
        </w:rPr>
        <w:t>委托</w:t>
      </w:r>
      <w:r>
        <w:rPr>
          <w:rFonts w:hint="default" w:ascii="Times New Roman" w:hAnsi="Times New Roman" w:eastAsia="宋体" w:cs="Times New Roman"/>
          <w:color w:val="auto"/>
          <w:sz w:val="24"/>
          <w:szCs w:val="24"/>
          <w:highlight w:val="none"/>
          <w:lang w:val="en-US" w:eastAsia="zh-CN"/>
        </w:rPr>
        <w:t>云南科环环境工程咨询有限公司于2024年10月12日</w:t>
      </w:r>
      <w:r>
        <w:rPr>
          <w:rFonts w:hint="default" w:ascii="Times New Roman" w:hAnsi="Times New Roman" w:eastAsia="宋体" w:cs="Times New Roman"/>
          <w:bCs/>
          <w:color w:val="auto"/>
          <w:highlight w:val="none"/>
        </w:rPr>
        <w:t>对项目区工频电场强度、工频磁感应强度进行了</w:t>
      </w:r>
      <w:r>
        <w:rPr>
          <w:rFonts w:hint="default" w:ascii="Times New Roman" w:hAnsi="Times New Roman" w:eastAsia="宋体" w:cs="Times New Roman"/>
          <w:bCs/>
          <w:color w:val="auto"/>
          <w:highlight w:val="none"/>
          <w:lang w:val="en-US" w:eastAsia="zh-CN"/>
        </w:rPr>
        <w:t>现状</w:t>
      </w:r>
      <w:r>
        <w:rPr>
          <w:rFonts w:hint="default" w:ascii="Times New Roman" w:hAnsi="Times New Roman" w:eastAsia="宋体" w:cs="Times New Roman"/>
          <w:bCs/>
          <w:color w:val="auto"/>
          <w:highlight w:val="none"/>
        </w:rPr>
        <w:t>实测</w:t>
      </w:r>
      <w:r>
        <w:rPr>
          <w:rFonts w:hint="default" w:ascii="Times New Roman" w:hAnsi="Times New Roman" w:eastAsia="宋体" w:cs="Times New Roman"/>
          <w:color w:val="auto"/>
          <w:highlight w:val="none"/>
        </w:rPr>
        <w:t>。</w:t>
      </w:r>
    </w:p>
    <w:p w14:paraId="6A5DDDD5">
      <w:pPr>
        <w:pStyle w:val="312"/>
        <w:keepNext w:val="0"/>
        <w:keepLines w:val="0"/>
        <w:pageBreakBefore w:val="0"/>
        <w:widowControl w:val="0"/>
        <w:kinsoku/>
        <w:wordWrap/>
        <w:overflowPunct/>
        <w:topLinePunct w:val="0"/>
        <w:autoSpaceDE/>
        <w:autoSpaceDN/>
        <w:bidi w:val="0"/>
        <w:snapToGrid/>
        <w:spacing w:line="351"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评价人员在掌握了充分的第一手资料，并对资料和数据进行了细致的分析研究后，对工程</w:t>
      </w:r>
      <w:r>
        <w:rPr>
          <w:rFonts w:hint="default" w:ascii="Times New Roman" w:hAnsi="Times New Roman" w:eastAsia="宋体" w:cs="Times New Roman"/>
          <w:color w:val="auto"/>
          <w:highlight w:val="none"/>
          <w:lang w:val="en-US" w:eastAsia="zh-CN"/>
        </w:rPr>
        <w:t>运营期</w:t>
      </w:r>
      <w:r>
        <w:rPr>
          <w:rFonts w:hint="default" w:ascii="Times New Roman" w:hAnsi="Times New Roman" w:eastAsia="宋体" w:cs="Times New Roman"/>
          <w:color w:val="auto"/>
          <w:highlight w:val="none"/>
        </w:rPr>
        <w:t>产生的工频电场强度、工频磁感应强度等污染因素对环境的影响进行了</w:t>
      </w:r>
      <w:r>
        <w:rPr>
          <w:rFonts w:hint="default" w:ascii="Times New Roman" w:hAnsi="Times New Roman" w:eastAsia="宋体" w:cs="Times New Roman"/>
          <w:color w:val="auto"/>
          <w:highlight w:val="none"/>
          <w:lang w:val="en-US" w:eastAsia="zh-CN"/>
        </w:rPr>
        <w:t>分析</w:t>
      </w:r>
      <w:r>
        <w:rPr>
          <w:rFonts w:hint="default" w:ascii="Times New Roman" w:hAnsi="Times New Roman" w:eastAsia="宋体" w:cs="Times New Roman"/>
          <w:color w:val="auto"/>
          <w:highlight w:val="none"/>
        </w:rPr>
        <w:t>评价，根据项目特点提出了相应的环境保护措施。在此基础上，从环保角度论证了本项目的可行性，编制完成了《</w:t>
      </w:r>
      <w:r>
        <w:rPr>
          <w:rFonts w:hint="eastAsia" w:cs="Times New Roman"/>
          <w:color w:val="auto"/>
          <w:sz w:val="24"/>
          <w:szCs w:val="24"/>
          <w:highlight w:val="none"/>
          <w:lang w:eastAsia="zh-CN"/>
        </w:rPr>
        <w:t>岩子头生态修复光伏电站220kV升压站</w:t>
      </w:r>
      <w:r>
        <w:rPr>
          <w:rFonts w:hint="default" w:ascii="Times New Roman" w:hAnsi="Times New Roman" w:eastAsia="宋体" w:cs="Times New Roman"/>
          <w:color w:val="auto"/>
          <w:highlight w:val="none"/>
        </w:rPr>
        <w:t>电磁环境影响专项评价》。</w:t>
      </w:r>
    </w:p>
    <w:p w14:paraId="4D238A74">
      <w:pPr>
        <w:keepNext w:val="0"/>
        <w:keepLines w:val="0"/>
        <w:pageBreakBefore w:val="0"/>
        <w:widowControl w:val="0"/>
        <w:kinsoku/>
        <w:wordWrap/>
        <w:overflowPunct/>
        <w:topLinePunct w:val="0"/>
        <w:autoSpaceDE/>
        <w:autoSpaceDN/>
        <w:bidi w:val="0"/>
        <w:snapToGrid/>
        <w:spacing w:line="351"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本专项对项目所在区域的工频电场强度、工频磁感应强度现状进行了实测，</w:t>
      </w:r>
      <w:r>
        <w:rPr>
          <w:rFonts w:hint="default" w:ascii="Times New Roman" w:hAnsi="Times New Roman" w:eastAsia="宋体" w:cs="Times New Roman"/>
          <w:color w:val="auto"/>
          <w:sz w:val="24"/>
          <w:highlight w:val="none"/>
          <w:lang w:val="en-US" w:eastAsia="zh-CN"/>
        </w:rPr>
        <w:t>分析</w:t>
      </w:r>
      <w:r>
        <w:rPr>
          <w:rFonts w:hint="default" w:ascii="Times New Roman" w:hAnsi="Times New Roman" w:eastAsia="宋体" w:cs="Times New Roman"/>
          <w:color w:val="auto"/>
          <w:sz w:val="24"/>
          <w:highlight w:val="none"/>
        </w:rPr>
        <w:t>和评价了本项目</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rPr>
        <w:t>产生的工频电场强度、工频磁感应强度对环境的影响，从电磁环境影响角度论证了本项目建设的可行性，提出预防措施。</w:t>
      </w:r>
    </w:p>
    <w:p w14:paraId="5A13A77C">
      <w:pPr>
        <w:pStyle w:val="312"/>
        <w:ind w:firstLine="480"/>
        <w:rPr>
          <w:rFonts w:hint="default" w:ascii="Times New Roman" w:hAnsi="Times New Roman" w:eastAsia="宋体" w:cs="Times New Roman"/>
          <w:color w:val="auto"/>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AndChars" w:linePitch="312" w:charSpace="0"/>
        </w:sectPr>
      </w:pPr>
    </w:p>
    <w:p w14:paraId="4ADC829F">
      <w:pPr>
        <w:spacing w:before="312" w:beforeLines="100" w:after="156" w:afterLines="50" w:line="360" w:lineRule="auto"/>
        <w:jc w:val="left"/>
        <w:outlineLvl w:val="1"/>
        <w:rPr>
          <w:rFonts w:hint="default" w:ascii="Times New Roman" w:hAnsi="Times New Roman" w:eastAsia="宋体" w:cs="Times New Roman"/>
          <w:b/>
          <w:bCs/>
          <w:color w:val="auto"/>
          <w:sz w:val="32"/>
          <w:szCs w:val="32"/>
          <w:highlight w:val="none"/>
        </w:rPr>
      </w:pPr>
      <w:bookmarkStart w:id="323" w:name="_Toc16826"/>
      <w:r>
        <w:rPr>
          <w:rFonts w:hint="default" w:ascii="Times New Roman" w:hAnsi="Times New Roman" w:eastAsia="宋体" w:cs="Times New Roman"/>
          <w:b/>
          <w:bCs/>
          <w:color w:val="auto"/>
          <w:sz w:val="32"/>
          <w:szCs w:val="32"/>
          <w:highlight w:val="none"/>
        </w:rPr>
        <w:t>2、总则</w:t>
      </w:r>
      <w:bookmarkEnd w:id="323"/>
    </w:p>
    <w:p w14:paraId="1FDF68D6">
      <w:pPr>
        <w:spacing w:line="360" w:lineRule="auto"/>
        <w:jc w:val="left"/>
        <w:outlineLvl w:val="2"/>
        <w:rPr>
          <w:rFonts w:hint="default" w:ascii="Times New Roman" w:hAnsi="Times New Roman" w:eastAsia="宋体" w:cs="Times New Roman"/>
          <w:b/>
          <w:color w:val="auto"/>
          <w:sz w:val="28"/>
          <w:szCs w:val="28"/>
          <w:highlight w:val="none"/>
        </w:rPr>
      </w:pPr>
      <w:bookmarkStart w:id="324" w:name="_Toc10273"/>
      <w:r>
        <w:rPr>
          <w:rFonts w:hint="default" w:ascii="Times New Roman" w:hAnsi="Times New Roman" w:eastAsia="宋体" w:cs="Times New Roman"/>
          <w:b/>
          <w:color w:val="auto"/>
          <w:sz w:val="28"/>
          <w:szCs w:val="28"/>
          <w:highlight w:val="none"/>
        </w:rPr>
        <w:t>2.1 编制依据</w:t>
      </w:r>
      <w:bookmarkEnd w:id="324"/>
    </w:p>
    <w:p w14:paraId="0FB6D30C">
      <w:pPr>
        <w:spacing w:line="360" w:lineRule="auto"/>
        <w:jc w:val="left"/>
        <w:outlineLvl w:val="2"/>
        <w:rPr>
          <w:rFonts w:hint="default" w:ascii="Times New Roman" w:hAnsi="Times New Roman" w:eastAsia="宋体" w:cs="Times New Roman"/>
          <w:b/>
          <w:color w:val="auto"/>
          <w:sz w:val="28"/>
          <w:szCs w:val="28"/>
          <w:highlight w:val="none"/>
        </w:rPr>
      </w:pPr>
      <w:bookmarkStart w:id="325" w:name="_Toc12437"/>
      <w:r>
        <w:rPr>
          <w:rFonts w:hint="default" w:ascii="Times New Roman" w:hAnsi="Times New Roman" w:eastAsia="宋体" w:cs="Times New Roman"/>
          <w:b/>
          <w:color w:val="auto"/>
          <w:sz w:val="28"/>
          <w:szCs w:val="28"/>
          <w:highlight w:val="none"/>
        </w:rPr>
        <w:t>2.1.1 法律、法规</w:t>
      </w:r>
      <w:bookmarkEnd w:id="325"/>
    </w:p>
    <w:p w14:paraId="0E223C32">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highlight w:val="none"/>
          <w:lang w:bidi="ar"/>
        </w:rPr>
        <w:t>（1）《中华人民共和国环境保护法》，2015年1月1日施行；</w:t>
      </w:r>
    </w:p>
    <w:p w14:paraId="229C4470">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highlight w:val="none"/>
          <w:lang w:bidi="ar"/>
        </w:rPr>
        <w:t>（2）《中华人民共和国环境影响评价法（2018修正版）》，2018年12月29日修订并施行；</w:t>
      </w:r>
    </w:p>
    <w:p w14:paraId="4D5DDA40">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highlight w:val="none"/>
          <w:lang w:bidi="ar"/>
        </w:rPr>
        <w:t>（3）《云南省电力设施保护条例》，2008年1月1日施行；</w:t>
      </w:r>
    </w:p>
    <w:p w14:paraId="07606CC4">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highlight w:val="none"/>
          <w:lang w:bidi="ar"/>
        </w:rPr>
      </w:pPr>
      <w:r>
        <w:rPr>
          <w:rFonts w:hint="default" w:ascii="Times New Roman" w:hAnsi="Times New Roman" w:eastAsia="宋体" w:cs="Times New Roman"/>
          <w:color w:val="auto"/>
          <w:kern w:val="2"/>
          <w:highlight w:val="none"/>
          <w:lang w:bidi="ar"/>
        </w:rPr>
        <w:t>（4）</w:t>
      </w:r>
      <w:r>
        <w:rPr>
          <w:rFonts w:hint="default" w:ascii="Times New Roman" w:hAnsi="Times New Roman" w:eastAsia="宋体" w:cs="Times New Roman"/>
          <w:color w:val="auto"/>
          <w:highlight w:val="none"/>
        </w:rPr>
        <w:t>《建设项目环境影响评价分类管理名录（2021年版）》（生态环境部部令第16号，2021年01月01日实施）</w:t>
      </w:r>
      <w:r>
        <w:rPr>
          <w:rFonts w:hint="default" w:ascii="Times New Roman" w:hAnsi="Times New Roman" w:eastAsia="宋体" w:cs="Times New Roman"/>
          <w:color w:val="auto"/>
          <w:kern w:val="2"/>
          <w:highlight w:val="none"/>
          <w:lang w:bidi="ar"/>
        </w:rPr>
        <w:t xml:space="preserve">； </w:t>
      </w:r>
    </w:p>
    <w:p w14:paraId="7D1BC3FD">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highlight w:val="none"/>
          <w:lang w:bidi="ar"/>
        </w:rPr>
        <w:t>（5）《建设项目环境保护管理条例》，中华人民共和国国务院令第682号，2017年10月1日施行</w:t>
      </w:r>
      <w:r>
        <w:rPr>
          <w:rFonts w:hint="default" w:ascii="Times New Roman" w:hAnsi="Times New Roman" w:eastAsia="宋体" w:cs="Times New Roman"/>
          <w:color w:val="auto"/>
          <w:highlight w:val="none"/>
        </w:rPr>
        <w:t>；</w:t>
      </w:r>
    </w:p>
    <w:p w14:paraId="0F8CADCC">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highlight w:val="none"/>
          <w:lang w:bidi="ar"/>
        </w:rPr>
      </w:pPr>
      <w:r>
        <w:rPr>
          <w:rFonts w:hint="default" w:ascii="Times New Roman" w:hAnsi="Times New Roman" w:eastAsia="宋体" w:cs="Times New Roman"/>
          <w:color w:val="auto"/>
          <w:kern w:val="2"/>
          <w:highlight w:val="none"/>
          <w:lang w:bidi="ar"/>
        </w:rPr>
        <w:t>（6）《中华人民共和国电力法》，2015.4.24；</w:t>
      </w:r>
    </w:p>
    <w:p w14:paraId="07E760C2">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highlight w:val="none"/>
          <w:lang w:bidi="ar"/>
        </w:rPr>
      </w:pPr>
      <w:r>
        <w:rPr>
          <w:rFonts w:hint="default" w:ascii="Times New Roman" w:hAnsi="Times New Roman" w:eastAsia="宋体" w:cs="Times New Roman"/>
          <w:color w:val="auto"/>
          <w:kern w:val="2"/>
          <w:highlight w:val="none"/>
          <w:lang w:bidi="ar"/>
        </w:rPr>
        <w:t>（7）《产业结构调整指导目录（2019年本）》及国家发展改革委关于修改《产业结构调整指导目录（2019年本）》的决定。</w:t>
      </w:r>
    </w:p>
    <w:p w14:paraId="27EDD5BA">
      <w:pPr>
        <w:spacing w:line="360" w:lineRule="auto"/>
        <w:outlineLvl w:val="2"/>
        <w:rPr>
          <w:rFonts w:hint="default" w:ascii="Times New Roman" w:hAnsi="Times New Roman" w:eastAsia="宋体" w:cs="Times New Roman"/>
          <w:b/>
          <w:color w:val="auto"/>
          <w:sz w:val="28"/>
          <w:szCs w:val="28"/>
          <w:highlight w:val="none"/>
        </w:rPr>
      </w:pPr>
      <w:bookmarkStart w:id="326" w:name="_Toc1775"/>
      <w:r>
        <w:rPr>
          <w:rFonts w:hint="default" w:ascii="Times New Roman" w:hAnsi="Times New Roman" w:eastAsia="宋体" w:cs="Times New Roman"/>
          <w:b/>
          <w:color w:val="auto"/>
          <w:sz w:val="28"/>
          <w:szCs w:val="28"/>
          <w:highlight w:val="none"/>
        </w:rPr>
        <w:t>2.1.2 环境影响评价有关标准、技术规程</w:t>
      </w:r>
      <w:bookmarkEnd w:id="326"/>
    </w:p>
    <w:p w14:paraId="06CFB742">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（1）《电磁环境控制限值》（GB 8702-2014）；</w:t>
      </w:r>
    </w:p>
    <w:p w14:paraId="6C16C03A">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（2）《环境影响评价技术导则  输变电》（HJ24-2020）；</w:t>
      </w:r>
    </w:p>
    <w:p w14:paraId="083239C6">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（3）《交流输变电工程电磁环境监测方法（试行）》（HJ 681-2013）；</w:t>
      </w:r>
    </w:p>
    <w:p w14:paraId="5F822BFF">
      <w:pPr>
        <w:pStyle w:val="43"/>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highlight w:val="none"/>
          <w:lang w:bidi="ar"/>
        </w:rPr>
      </w:pPr>
      <w:r>
        <w:rPr>
          <w:rFonts w:hint="default" w:ascii="Times New Roman" w:hAnsi="Times New Roman" w:eastAsia="宋体" w:cs="Times New Roman"/>
          <w:color w:val="auto"/>
          <w:kern w:val="2"/>
          <w:highlight w:val="none"/>
          <w:lang w:bidi="ar"/>
        </w:rPr>
        <w:t>（4）《建设项目竣工环境保护验收技术规范 输变电》（HJ705-2020）；</w:t>
      </w:r>
    </w:p>
    <w:p w14:paraId="69EDB87F">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bidi="ar"/>
        </w:rPr>
        <w:t>（5）</w:t>
      </w:r>
      <w:r>
        <w:rPr>
          <w:rFonts w:hint="default" w:ascii="Times New Roman" w:hAnsi="Times New Roman" w:eastAsia="宋体" w:cs="Times New Roman"/>
          <w:color w:val="auto"/>
          <w:sz w:val="24"/>
          <w:highlight w:val="none"/>
        </w:rPr>
        <w:t>《输变电建设项目环境保护技术要求》(HJ1113-2020)；</w:t>
      </w:r>
    </w:p>
    <w:p w14:paraId="3F499AA2">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（6）《建设项目环境影响评价技术导则 总纲》（HJ2.1-2016）。</w:t>
      </w:r>
    </w:p>
    <w:p w14:paraId="65CEE284">
      <w:pPr>
        <w:spacing w:line="360" w:lineRule="auto"/>
        <w:rPr>
          <w:rFonts w:hint="default" w:ascii="Times New Roman" w:hAnsi="Times New Roman" w:eastAsia="宋体" w:cs="Times New Roman"/>
          <w:b/>
          <w:color w:val="auto"/>
          <w:kern w:val="0"/>
          <w:sz w:val="28"/>
          <w:szCs w:val="28"/>
          <w:highlight w:val="none"/>
        </w:rPr>
      </w:pPr>
      <w:r>
        <w:rPr>
          <w:rFonts w:hint="default" w:ascii="Times New Roman" w:hAnsi="Times New Roman" w:eastAsia="宋体" w:cs="Times New Roman"/>
          <w:b/>
          <w:color w:val="auto"/>
          <w:kern w:val="0"/>
          <w:sz w:val="28"/>
          <w:szCs w:val="28"/>
          <w:highlight w:val="none"/>
        </w:rPr>
        <w:t>2.1.3 相关技术资料及批复</w:t>
      </w:r>
    </w:p>
    <w:p w14:paraId="6E98C6E5">
      <w:pPr>
        <w:pStyle w:val="113"/>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szCs w:val="24"/>
          <w:highlight w:val="none"/>
          <w:lang w:eastAsia="zh-CN"/>
        </w:rPr>
        <w:t>中清能禄劝县岩子头200MW生态修复光伏电站项目</w:t>
      </w:r>
      <w:r>
        <w:rPr>
          <w:rFonts w:hint="default" w:ascii="Times New Roman" w:hAnsi="Times New Roman" w:eastAsia="宋体" w:cs="Times New Roman"/>
          <w:color w:val="auto"/>
          <w:szCs w:val="24"/>
          <w:highlight w:val="none"/>
        </w:rPr>
        <w:t>环境影响报告表》（报批稿）</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202</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年</w:t>
      </w:r>
      <w:r>
        <w:rPr>
          <w:rFonts w:hint="default" w:ascii="Times New Roman" w:hAnsi="Times New Roman" w:eastAsia="宋体" w:cs="Times New Roman"/>
          <w:color w:val="auto"/>
          <w:szCs w:val="24"/>
          <w:highlight w:val="none"/>
          <w:lang w:val="en-US" w:eastAsia="zh-CN"/>
        </w:rPr>
        <w:t>10</w:t>
      </w:r>
      <w:r>
        <w:rPr>
          <w:rFonts w:hint="default" w:ascii="Times New Roman" w:hAnsi="Times New Roman" w:eastAsia="宋体" w:cs="Times New Roman"/>
          <w:color w:val="auto"/>
          <w:szCs w:val="24"/>
          <w:highlight w:val="none"/>
        </w:rPr>
        <w:t>月；</w:t>
      </w:r>
    </w:p>
    <w:p w14:paraId="018EA3B8">
      <w:pPr>
        <w:pStyle w:val="113"/>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w:t>
      </w:r>
      <w:r>
        <w:rPr>
          <w:rFonts w:hint="default" w:ascii="Times New Roman" w:hAnsi="Times New Roman" w:eastAsia="宋体" w:cs="Times New Roman"/>
          <w:snapToGrid w:val="0"/>
          <w:color w:val="auto"/>
          <w:kern w:val="0"/>
          <w:sz w:val="24"/>
          <w:szCs w:val="30"/>
          <w:highlight w:val="none"/>
          <w:lang w:val="en-US" w:eastAsia="zh-CN"/>
        </w:rPr>
        <w:t>昆明市生态环境局禄劝分局关于《</w:t>
      </w:r>
      <w:r>
        <w:rPr>
          <w:rFonts w:hint="default" w:ascii="Times New Roman" w:hAnsi="Times New Roman" w:eastAsia="宋体" w:cs="Times New Roman"/>
          <w:snapToGrid w:val="0"/>
          <w:color w:val="auto"/>
          <w:kern w:val="0"/>
          <w:sz w:val="24"/>
          <w:szCs w:val="30"/>
          <w:highlight w:val="none"/>
          <w:lang w:eastAsia="zh-CN"/>
        </w:rPr>
        <w:t>中清能禄劝县岩子头200MW生态修复光伏电站项目</w:t>
      </w:r>
      <w:r>
        <w:rPr>
          <w:rFonts w:hint="default" w:ascii="Times New Roman" w:hAnsi="Times New Roman" w:eastAsia="宋体" w:cs="Times New Roman"/>
          <w:snapToGrid w:val="0"/>
          <w:color w:val="auto"/>
          <w:kern w:val="0"/>
          <w:sz w:val="24"/>
          <w:szCs w:val="30"/>
          <w:highlight w:val="none"/>
          <w:lang w:val="en-US" w:eastAsia="zh-CN"/>
        </w:rPr>
        <w:t>环境影响报告表的批复》，2023.11.02</w:t>
      </w:r>
      <w:r>
        <w:rPr>
          <w:rFonts w:hint="default" w:ascii="Times New Roman" w:hAnsi="Times New Roman" w:eastAsia="宋体" w:cs="Times New Roman"/>
          <w:color w:val="auto"/>
          <w:szCs w:val="24"/>
          <w:highlight w:val="none"/>
        </w:rPr>
        <w:t>。</w:t>
      </w:r>
    </w:p>
    <w:p w14:paraId="56D44E7D">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val="en-US" w:eastAsia="zh-CN"/>
        </w:rPr>
      </w:pP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3</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建设项目用地预审与选址意见书；</w:t>
      </w:r>
    </w:p>
    <w:p w14:paraId="27E4F716">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val="en-US" w:eastAsia="zh-CN"/>
        </w:rPr>
        <w:t>（4）</w:t>
      </w:r>
      <w:r>
        <w:rPr>
          <w:rFonts w:hint="default" w:ascii="Times New Roman" w:hAnsi="Times New Roman" w:eastAsia="宋体" w:cs="Times New Roman"/>
          <w:snapToGrid w:val="0"/>
          <w:color w:val="auto"/>
          <w:kern w:val="0"/>
          <w:sz w:val="24"/>
          <w:szCs w:val="30"/>
          <w:highlight w:val="none"/>
          <w:lang w:eastAsia="zh-CN"/>
        </w:rPr>
        <w:t>禄劝彝族苗族自治县云龙水库水源保护区管理局关于《关于禄劝皎平渡镇永善村120MW中清能禄劝县岩子头200MW等4个光伏电站建设项目出示相关意见的函》的复函，</w:t>
      </w:r>
      <w:r>
        <w:rPr>
          <w:rFonts w:hint="default" w:ascii="Times New Roman" w:hAnsi="Times New Roman" w:eastAsia="宋体" w:cs="Times New Roman"/>
          <w:snapToGrid w:val="0"/>
          <w:color w:val="auto"/>
          <w:kern w:val="0"/>
          <w:sz w:val="24"/>
          <w:szCs w:val="30"/>
          <w:highlight w:val="none"/>
          <w:lang w:val="en-US" w:eastAsia="zh-CN"/>
        </w:rPr>
        <w:t>2023.03.16</w:t>
      </w:r>
      <w:r>
        <w:rPr>
          <w:rFonts w:hint="default" w:ascii="Times New Roman" w:hAnsi="Times New Roman" w:eastAsia="宋体" w:cs="Times New Roman"/>
          <w:snapToGrid w:val="0"/>
          <w:color w:val="auto"/>
          <w:kern w:val="0"/>
          <w:sz w:val="24"/>
          <w:szCs w:val="30"/>
          <w:highlight w:val="none"/>
          <w:lang w:eastAsia="zh-CN"/>
        </w:rPr>
        <w:t>；</w:t>
      </w:r>
    </w:p>
    <w:p w14:paraId="2C55F25C">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val="en-US" w:eastAsia="zh-CN"/>
        </w:rPr>
        <w:t>（5）</w:t>
      </w:r>
      <w:r>
        <w:rPr>
          <w:rFonts w:hint="default" w:ascii="Times New Roman" w:hAnsi="Times New Roman" w:eastAsia="宋体" w:cs="Times New Roman"/>
          <w:snapToGrid w:val="0"/>
          <w:color w:val="auto"/>
          <w:kern w:val="0"/>
          <w:sz w:val="24"/>
          <w:szCs w:val="30"/>
          <w:highlight w:val="none"/>
          <w:lang w:eastAsia="zh-CN"/>
        </w:rPr>
        <w:t>禄劝彝族苗族自治县自然资源局关于《中清能禄劝县岩子头200MW生态修复光伏电站项目的规划核查意见》</w:t>
      </w:r>
      <w:r>
        <w:rPr>
          <w:rFonts w:hint="default" w:ascii="Times New Roman" w:hAnsi="Times New Roman" w:eastAsia="宋体" w:cs="Times New Roman"/>
          <w:snapToGrid w:val="0"/>
          <w:color w:val="auto"/>
          <w:kern w:val="0"/>
          <w:sz w:val="24"/>
          <w:szCs w:val="30"/>
          <w:highlight w:val="none"/>
          <w:lang w:val="en-US" w:eastAsia="zh-CN"/>
        </w:rPr>
        <w:t>2022.09.06</w:t>
      </w:r>
      <w:r>
        <w:rPr>
          <w:rFonts w:hint="default" w:ascii="Times New Roman" w:hAnsi="Times New Roman" w:eastAsia="宋体" w:cs="Times New Roman"/>
          <w:snapToGrid w:val="0"/>
          <w:color w:val="auto"/>
          <w:kern w:val="0"/>
          <w:sz w:val="24"/>
          <w:szCs w:val="30"/>
          <w:highlight w:val="none"/>
          <w:lang w:eastAsia="zh-CN"/>
        </w:rPr>
        <w:t>；</w:t>
      </w:r>
    </w:p>
    <w:p w14:paraId="0F682747">
      <w:pPr>
        <w:widowControl/>
        <w:adjustRightInd w:val="0"/>
        <w:spacing w:line="360" w:lineRule="auto"/>
        <w:ind w:firstLine="480" w:firstLineChars="200"/>
        <w:rPr>
          <w:rFonts w:hint="default" w:ascii="Times New Roman" w:hAnsi="Times New Roman" w:eastAsia="宋体" w:cs="Times New Roman"/>
          <w:snapToGrid w:val="0"/>
          <w:color w:val="auto"/>
          <w:kern w:val="0"/>
          <w:sz w:val="24"/>
          <w:szCs w:val="30"/>
          <w:highlight w:val="none"/>
          <w:lang w:eastAsia="zh-CN"/>
        </w:rPr>
      </w:pP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5</w:t>
      </w:r>
      <w:r>
        <w:rPr>
          <w:rFonts w:hint="default" w:ascii="Times New Roman" w:hAnsi="Times New Roman" w:eastAsia="宋体" w:cs="Times New Roman"/>
          <w:snapToGrid w:val="0"/>
          <w:color w:val="auto"/>
          <w:kern w:val="0"/>
          <w:sz w:val="24"/>
          <w:szCs w:val="30"/>
          <w:highlight w:val="none"/>
          <w:lang w:eastAsia="zh-CN"/>
        </w:rPr>
        <w:t>）禄劝彝族苗族自治县水务局关于《中清能禄劝县岩子头200MW生态修复光伏电站项目的选址意见》，</w:t>
      </w:r>
      <w:r>
        <w:rPr>
          <w:rFonts w:hint="default" w:ascii="Times New Roman" w:hAnsi="Times New Roman" w:eastAsia="宋体" w:cs="Times New Roman"/>
          <w:snapToGrid w:val="0"/>
          <w:color w:val="auto"/>
          <w:kern w:val="0"/>
          <w:sz w:val="24"/>
          <w:szCs w:val="30"/>
          <w:highlight w:val="none"/>
          <w:lang w:val="en-US" w:eastAsia="zh-CN"/>
        </w:rPr>
        <w:t>2023.03.16</w:t>
      </w:r>
      <w:r>
        <w:rPr>
          <w:rFonts w:hint="default" w:ascii="Times New Roman" w:hAnsi="Times New Roman" w:eastAsia="宋体" w:cs="Times New Roman"/>
          <w:snapToGrid w:val="0"/>
          <w:color w:val="auto"/>
          <w:kern w:val="0"/>
          <w:sz w:val="24"/>
          <w:szCs w:val="30"/>
          <w:highlight w:val="none"/>
          <w:lang w:eastAsia="zh-CN"/>
        </w:rPr>
        <w:t>；</w:t>
      </w:r>
    </w:p>
    <w:p w14:paraId="3E280D11">
      <w:pPr>
        <w:pStyle w:val="11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6</w:t>
      </w:r>
      <w:r>
        <w:rPr>
          <w:rFonts w:hint="default" w:ascii="Times New Roman" w:hAnsi="Times New Roman" w:eastAsia="宋体" w:cs="Times New Roman"/>
          <w:snapToGrid w:val="0"/>
          <w:color w:val="auto"/>
          <w:kern w:val="0"/>
          <w:sz w:val="24"/>
          <w:szCs w:val="30"/>
          <w:highlight w:val="none"/>
          <w:lang w:eastAsia="zh-CN"/>
        </w:rPr>
        <w:t>）</w:t>
      </w:r>
      <w:r>
        <w:rPr>
          <w:rFonts w:hint="default" w:ascii="Times New Roman" w:hAnsi="Times New Roman" w:eastAsia="宋体" w:cs="Times New Roman"/>
          <w:snapToGrid w:val="0"/>
          <w:color w:val="auto"/>
          <w:kern w:val="0"/>
          <w:sz w:val="24"/>
          <w:szCs w:val="30"/>
          <w:highlight w:val="none"/>
          <w:lang w:val="en-US" w:eastAsia="zh-CN"/>
        </w:rPr>
        <w:t>建设单位提供的与项目有关的其他技术资料</w:t>
      </w:r>
      <w:r>
        <w:rPr>
          <w:rFonts w:hint="default" w:ascii="Times New Roman" w:hAnsi="Times New Roman" w:eastAsia="宋体" w:cs="Times New Roman"/>
          <w:color w:val="auto"/>
          <w:szCs w:val="24"/>
          <w:highlight w:val="none"/>
        </w:rPr>
        <w:t>。</w:t>
      </w:r>
    </w:p>
    <w:p w14:paraId="26B6CEB5">
      <w:pPr>
        <w:spacing w:before="156" w:beforeLines="50" w:line="360" w:lineRule="auto"/>
        <w:jc w:val="left"/>
        <w:outlineLvl w:val="2"/>
        <w:rPr>
          <w:rFonts w:hint="default" w:ascii="Times New Roman" w:hAnsi="Times New Roman" w:eastAsia="宋体" w:cs="Times New Roman"/>
          <w:b/>
          <w:color w:val="auto"/>
          <w:sz w:val="24"/>
          <w:highlight w:val="none"/>
        </w:rPr>
      </w:pPr>
      <w:bookmarkStart w:id="327" w:name="_Toc3248"/>
      <w:r>
        <w:rPr>
          <w:rFonts w:hint="default" w:ascii="Times New Roman" w:hAnsi="Times New Roman" w:eastAsia="宋体" w:cs="Times New Roman"/>
          <w:b/>
          <w:color w:val="auto"/>
          <w:sz w:val="24"/>
          <w:highlight w:val="none"/>
        </w:rPr>
        <w:t>2.2评价因子、评价标准</w:t>
      </w:r>
      <w:bookmarkEnd w:id="327"/>
    </w:p>
    <w:p w14:paraId="111F18A4">
      <w:pPr>
        <w:spacing w:line="360" w:lineRule="auto"/>
        <w:ind w:firstLine="482" w:firstLineChars="200"/>
        <w:jc w:val="left"/>
        <w:outlineLvl w:val="2"/>
        <w:rPr>
          <w:rFonts w:hint="default" w:ascii="Times New Roman" w:hAnsi="Times New Roman" w:eastAsia="宋体" w:cs="Times New Roman"/>
          <w:b/>
          <w:color w:val="auto"/>
          <w:sz w:val="24"/>
          <w:highlight w:val="none"/>
        </w:rPr>
      </w:pPr>
      <w:bookmarkStart w:id="328" w:name="_Toc6445"/>
      <w:r>
        <w:rPr>
          <w:rFonts w:hint="default" w:ascii="Times New Roman" w:hAnsi="Times New Roman" w:eastAsia="宋体" w:cs="Times New Roman"/>
          <w:b/>
          <w:color w:val="auto"/>
          <w:sz w:val="24"/>
          <w:highlight w:val="none"/>
        </w:rPr>
        <w:t>2.2.1 评价因子</w:t>
      </w:r>
      <w:bookmarkEnd w:id="328"/>
    </w:p>
    <w:p w14:paraId="7577242D">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本工程</w:t>
      </w:r>
      <w:r>
        <w:rPr>
          <w:rFonts w:hint="default" w:ascii="Times New Roman" w:hAnsi="Times New Roman" w:eastAsia="宋体" w:cs="Times New Roman"/>
          <w:color w:val="auto"/>
          <w:sz w:val="24"/>
          <w:highlight w:val="none"/>
          <w:lang w:val="en-US" w:eastAsia="zh-CN"/>
        </w:rPr>
        <w:t>施工期已结束，且施工期</w:t>
      </w:r>
      <w:r>
        <w:rPr>
          <w:rFonts w:hint="default" w:ascii="Times New Roman" w:hAnsi="Times New Roman" w:eastAsia="宋体" w:cs="Times New Roman"/>
          <w:color w:val="auto"/>
          <w:sz w:val="24"/>
          <w:highlight w:val="none"/>
        </w:rPr>
        <w:t>无电磁环境影响。根据工程所在地环境特征、环境影响因素识别结果，确定项目电磁环境评价因子见表2-1。</w:t>
      </w:r>
    </w:p>
    <w:p w14:paraId="348875ED">
      <w:pPr>
        <w:ind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表2-1   电磁环境公众曝露控制限值</w:t>
      </w:r>
    </w:p>
    <w:tbl>
      <w:tblPr>
        <w:tblStyle w:val="49"/>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253"/>
        <w:gridCol w:w="1517"/>
        <w:gridCol w:w="2926"/>
        <w:gridCol w:w="2823"/>
      </w:tblGrid>
      <w:tr w14:paraId="63377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735" w:type="pct"/>
            <w:vMerge w:val="restart"/>
            <w:shd w:val="clear" w:color="auto" w:fill="auto"/>
            <w:noWrap w:val="0"/>
            <w:vAlign w:val="center"/>
          </w:tcPr>
          <w:p w14:paraId="758F1FBD">
            <w:pPr>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890" w:type="pct"/>
            <w:vMerge w:val="restart"/>
            <w:shd w:val="clear" w:color="auto" w:fill="auto"/>
            <w:noWrap w:val="0"/>
            <w:vAlign w:val="center"/>
          </w:tcPr>
          <w:p w14:paraId="2CC15D27">
            <w:pPr>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环境要素</w:t>
            </w:r>
          </w:p>
        </w:tc>
        <w:tc>
          <w:tcPr>
            <w:tcW w:w="3373" w:type="pct"/>
            <w:gridSpan w:val="2"/>
            <w:shd w:val="clear" w:color="auto" w:fill="auto"/>
            <w:noWrap w:val="0"/>
            <w:vAlign w:val="center"/>
          </w:tcPr>
          <w:p w14:paraId="48A458F8">
            <w:pPr>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评价因子</w:t>
            </w:r>
          </w:p>
        </w:tc>
      </w:tr>
      <w:tr w14:paraId="7BB5F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735" w:type="pct"/>
            <w:vMerge w:val="continue"/>
            <w:shd w:val="clear" w:color="auto" w:fill="auto"/>
            <w:noWrap w:val="0"/>
            <w:vAlign w:val="center"/>
          </w:tcPr>
          <w:p w14:paraId="3CDA9122">
            <w:pPr>
              <w:spacing w:line="360" w:lineRule="auto"/>
              <w:jc w:val="center"/>
              <w:rPr>
                <w:rFonts w:hint="default" w:ascii="Times New Roman" w:hAnsi="Times New Roman" w:eastAsia="宋体" w:cs="Times New Roman"/>
                <w:b/>
                <w:bCs/>
                <w:color w:val="auto"/>
                <w:szCs w:val="21"/>
                <w:highlight w:val="none"/>
              </w:rPr>
            </w:pPr>
          </w:p>
        </w:tc>
        <w:tc>
          <w:tcPr>
            <w:tcW w:w="890" w:type="pct"/>
            <w:vMerge w:val="continue"/>
            <w:shd w:val="clear" w:color="auto" w:fill="auto"/>
            <w:noWrap w:val="0"/>
            <w:vAlign w:val="center"/>
          </w:tcPr>
          <w:p w14:paraId="3A54CAF3">
            <w:pPr>
              <w:spacing w:line="360" w:lineRule="auto"/>
              <w:jc w:val="center"/>
              <w:rPr>
                <w:rFonts w:hint="default" w:ascii="Times New Roman" w:hAnsi="Times New Roman" w:eastAsia="宋体" w:cs="Times New Roman"/>
                <w:b/>
                <w:bCs/>
                <w:color w:val="auto"/>
                <w:szCs w:val="21"/>
                <w:highlight w:val="none"/>
              </w:rPr>
            </w:pPr>
          </w:p>
        </w:tc>
        <w:tc>
          <w:tcPr>
            <w:tcW w:w="1717" w:type="pct"/>
            <w:shd w:val="clear" w:color="auto" w:fill="auto"/>
            <w:noWrap w:val="0"/>
            <w:vAlign w:val="center"/>
          </w:tcPr>
          <w:p w14:paraId="1306B568">
            <w:pPr>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现状评价因子</w:t>
            </w:r>
          </w:p>
        </w:tc>
        <w:tc>
          <w:tcPr>
            <w:tcW w:w="1656" w:type="pct"/>
            <w:shd w:val="clear" w:color="auto" w:fill="auto"/>
            <w:noWrap w:val="0"/>
            <w:vAlign w:val="center"/>
          </w:tcPr>
          <w:p w14:paraId="3D9A2F49">
            <w:pPr>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预测评价因子</w:t>
            </w:r>
          </w:p>
        </w:tc>
      </w:tr>
      <w:tr w14:paraId="0E61F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735" w:type="pct"/>
            <w:shd w:val="clear" w:color="auto" w:fill="auto"/>
            <w:noWrap w:val="0"/>
            <w:vAlign w:val="center"/>
          </w:tcPr>
          <w:p w14:paraId="5544B108">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运营期</w:t>
            </w:r>
          </w:p>
        </w:tc>
        <w:tc>
          <w:tcPr>
            <w:tcW w:w="890" w:type="pct"/>
            <w:shd w:val="clear" w:color="auto" w:fill="auto"/>
            <w:noWrap w:val="0"/>
            <w:vAlign w:val="center"/>
          </w:tcPr>
          <w:p w14:paraId="079FB5F8">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电磁环境影响</w:t>
            </w:r>
          </w:p>
        </w:tc>
        <w:tc>
          <w:tcPr>
            <w:tcW w:w="1717" w:type="pct"/>
            <w:shd w:val="clear" w:color="auto" w:fill="auto"/>
            <w:noWrap w:val="0"/>
            <w:vAlign w:val="center"/>
          </w:tcPr>
          <w:p w14:paraId="02711EA1">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工频电场</w:t>
            </w:r>
            <w:r>
              <w:rPr>
                <w:rFonts w:hint="default" w:ascii="Times New Roman" w:hAnsi="Times New Roman" w:eastAsia="宋体" w:cs="Times New Roman"/>
                <w:color w:val="auto"/>
                <w:szCs w:val="21"/>
                <w:highlight w:val="none"/>
                <w:lang w:eastAsia="zh-CN"/>
              </w:rPr>
              <w:t>、工频磁场</w:t>
            </w:r>
          </w:p>
        </w:tc>
        <w:tc>
          <w:tcPr>
            <w:tcW w:w="1656" w:type="pct"/>
            <w:shd w:val="clear" w:color="auto" w:fill="auto"/>
            <w:noWrap w:val="0"/>
            <w:vAlign w:val="center"/>
          </w:tcPr>
          <w:p w14:paraId="5C64640C">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工频电场</w:t>
            </w:r>
            <w:r>
              <w:rPr>
                <w:rFonts w:hint="default" w:ascii="Times New Roman" w:hAnsi="Times New Roman" w:eastAsia="宋体" w:cs="Times New Roman"/>
                <w:color w:val="auto"/>
                <w:szCs w:val="21"/>
                <w:highlight w:val="none"/>
                <w:lang w:eastAsia="zh-CN"/>
              </w:rPr>
              <w:t>、工频磁场</w:t>
            </w:r>
          </w:p>
        </w:tc>
      </w:tr>
    </w:tbl>
    <w:p w14:paraId="51620FCF">
      <w:pPr>
        <w:spacing w:line="360" w:lineRule="auto"/>
        <w:ind w:firstLine="482" w:firstLineChars="200"/>
        <w:jc w:val="left"/>
        <w:outlineLvl w:val="2"/>
        <w:rPr>
          <w:rFonts w:hint="default" w:ascii="Times New Roman" w:hAnsi="Times New Roman" w:eastAsia="宋体" w:cs="Times New Roman"/>
          <w:b/>
          <w:color w:val="auto"/>
          <w:sz w:val="24"/>
          <w:highlight w:val="none"/>
        </w:rPr>
      </w:pPr>
      <w:bookmarkStart w:id="329" w:name="_Toc12777"/>
      <w:r>
        <w:rPr>
          <w:rFonts w:hint="default" w:ascii="Times New Roman" w:hAnsi="Times New Roman" w:eastAsia="宋体" w:cs="Times New Roman"/>
          <w:b/>
          <w:color w:val="auto"/>
          <w:sz w:val="24"/>
          <w:highlight w:val="none"/>
        </w:rPr>
        <w:t>2.2.2 评价标准</w:t>
      </w:r>
      <w:bookmarkEnd w:id="329"/>
    </w:p>
    <w:p w14:paraId="4AB9E75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根据《电磁环境控制限值》（GB 8702-2014）的限值，本项目升压站工程运行频率为50Hz，根据《电磁环境控制限值》（GB 8702-2014）表1公众暴露控制限值（居民区），0.025kHz～1.2kHz频率范围内，电场强度E（V/m）为200/f，磁感应强度B（μT）为5/f，其中f为频率；本项目的频率为50Hz（0.05kHz），见表2-2。</w:t>
      </w:r>
    </w:p>
    <w:p w14:paraId="43AB9D67">
      <w:pPr>
        <w:spacing w:line="360" w:lineRule="auto"/>
        <w:ind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表2-2    电磁环境公众曝露控制限值</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2926"/>
        <w:gridCol w:w="2681"/>
      </w:tblGrid>
      <w:tr w14:paraId="63D0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5" w:type="dxa"/>
            <w:noWrap w:val="0"/>
            <w:vAlign w:val="center"/>
          </w:tcPr>
          <w:p w14:paraId="739EE63A">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频率范围</w:t>
            </w:r>
          </w:p>
        </w:tc>
        <w:tc>
          <w:tcPr>
            <w:tcW w:w="2926" w:type="dxa"/>
            <w:noWrap w:val="0"/>
            <w:vAlign w:val="center"/>
          </w:tcPr>
          <w:p w14:paraId="09785C84">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电场强度E（V/m）</w:t>
            </w:r>
          </w:p>
        </w:tc>
        <w:tc>
          <w:tcPr>
            <w:tcW w:w="2681" w:type="dxa"/>
            <w:noWrap w:val="0"/>
            <w:vAlign w:val="center"/>
          </w:tcPr>
          <w:p w14:paraId="63DC357B">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磁感应强度B(μT)</w:t>
            </w:r>
          </w:p>
        </w:tc>
      </w:tr>
      <w:tr w14:paraId="2D51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915" w:type="dxa"/>
            <w:noWrap w:val="0"/>
            <w:vAlign w:val="center"/>
          </w:tcPr>
          <w:p w14:paraId="389649B2">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25Hz~1200Hz</w:t>
            </w:r>
          </w:p>
        </w:tc>
        <w:tc>
          <w:tcPr>
            <w:tcW w:w="2926" w:type="dxa"/>
            <w:noWrap w:val="0"/>
            <w:vAlign w:val="center"/>
          </w:tcPr>
          <w:p w14:paraId="1CED6AC4">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200/f</w:t>
            </w:r>
          </w:p>
        </w:tc>
        <w:tc>
          <w:tcPr>
            <w:tcW w:w="2681" w:type="dxa"/>
            <w:noWrap w:val="0"/>
            <w:vAlign w:val="center"/>
          </w:tcPr>
          <w:p w14:paraId="485D872E">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5/f</w:t>
            </w:r>
          </w:p>
        </w:tc>
      </w:tr>
      <w:tr w14:paraId="46F4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915" w:type="dxa"/>
            <w:noWrap w:val="0"/>
            <w:vAlign w:val="center"/>
          </w:tcPr>
          <w:p w14:paraId="53282B5D">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升压站</w:t>
            </w:r>
            <w:r>
              <w:rPr>
                <w:rFonts w:hint="default" w:ascii="Times New Roman" w:hAnsi="Times New Roman" w:eastAsia="宋体" w:cs="Times New Roman"/>
                <w:bCs/>
                <w:color w:val="auto"/>
                <w:szCs w:val="21"/>
                <w:highlight w:val="none"/>
              </w:rPr>
              <w:t>工作频率（0.05kHz）</w:t>
            </w:r>
          </w:p>
        </w:tc>
        <w:tc>
          <w:tcPr>
            <w:tcW w:w="2926" w:type="dxa"/>
            <w:noWrap w:val="0"/>
            <w:vAlign w:val="center"/>
          </w:tcPr>
          <w:p w14:paraId="02A8F667">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4000V/m（4kV/m）</w:t>
            </w:r>
          </w:p>
        </w:tc>
        <w:tc>
          <w:tcPr>
            <w:tcW w:w="2681" w:type="dxa"/>
            <w:noWrap w:val="0"/>
            <w:vAlign w:val="center"/>
          </w:tcPr>
          <w:p w14:paraId="25A7C1E1">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100μT（0.1mT）</w:t>
            </w:r>
          </w:p>
        </w:tc>
      </w:tr>
    </w:tbl>
    <w:p w14:paraId="275566C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本项目工频电场、工频磁场执行标准如下：</w:t>
      </w:r>
    </w:p>
    <w:p w14:paraId="6AF8E0C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1）工频电场强度限值：以4000V/m作为工频电场强度评价标准。</w:t>
      </w:r>
    </w:p>
    <w:p w14:paraId="3354322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2）工频磁感应强度限值：以100μT作为工频磁感应强度评价标准。</w:t>
      </w:r>
    </w:p>
    <w:p w14:paraId="71279307">
      <w:pPr>
        <w:spacing w:line="360" w:lineRule="auto"/>
        <w:jc w:val="left"/>
        <w:outlineLvl w:val="2"/>
        <w:rPr>
          <w:rFonts w:hint="default" w:ascii="Times New Roman" w:hAnsi="Times New Roman" w:eastAsia="宋体" w:cs="Times New Roman"/>
          <w:b/>
          <w:color w:val="auto"/>
          <w:sz w:val="24"/>
          <w:highlight w:val="none"/>
        </w:rPr>
      </w:pPr>
      <w:bookmarkStart w:id="330" w:name="_Toc9932"/>
      <w:r>
        <w:rPr>
          <w:rFonts w:hint="default" w:ascii="Times New Roman" w:hAnsi="Times New Roman" w:eastAsia="宋体" w:cs="Times New Roman"/>
          <w:b/>
          <w:color w:val="auto"/>
          <w:sz w:val="24"/>
          <w:highlight w:val="none"/>
        </w:rPr>
        <w:t>2.3评价工作等级</w:t>
      </w:r>
      <w:bookmarkEnd w:id="330"/>
    </w:p>
    <w:p w14:paraId="32A1905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 输变电》（HJ 24-2020），电磁环境评价工作等级划分见表2-3。</w:t>
      </w:r>
    </w:p>
    <w:p w14:paraId="0B880396">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表2-3  电磁环境评价工作等级划分表</w:t>
      </w:r>
    </w:p>
    <w:tbl>
      <w:tblPr>
        <w:tblStyle w:val="4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81"/>
        <w:gridCol w:w="1297"/>
        <w:gridCol w:w="1048"/>
        <w:gridCol w:w="4146"/>
        <w:gridCol w:w="1247"/>
      </w:tblGrid>
      <w:tr w14:paraId="1331A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jc w:val="center"/>
        </w:trPr>
        <w:tc>
          <w:tcPr>
            <w:tcW w:w="458" w:type="pct"/>
            <w:shd w:val="clear" w:color="auto" w:fill="auto"/>
            <w:noWrap w:val="0"/>
            <w:vAlign w:val="center"/>
          </w:tcPr>
          <w:p w14:paraId="4380DBF1">
            <w:pPr>
              <w:tabs>
                <w:tab w:val="left" w:pos="3240"/>
              </w:tabs>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分类</w:t>
            </w:r>
          </w:p>
        </w:tc>
        <w:tc>
          <w:tcPr>
            <w:tcW w:w="761" w:type="pct"/>
            <w:shd w:val="clear" w:color="auto" w:fill="auto"/>
            <w:noWrap w:val="0"/>
            <w:vAlign w:val="center"/>
          </w:tcPr>
          <w:p w14:paraId="78EFE2F4">
            <w:pPr>
              <w:tabs>
                <w:tab w:val="left" w:pos="3240"/>
              </w:tabs>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电压等级</w:t>
            </w:r>
          </w:p>
        </w:tc>
        <w:tc>
          <w:tcPr>
            <w:tcW w:w="615" w:type="pct"/>
            <w:shd w:val="clear" w:color="auto" w:fill="auto"/>
            <w:noWrap w:val="0"/>
            <w:vAlign w:val="center"/>
          </w:tcPr>
          <w:p w14:paraId="49208EF3">
            <w:pPr>
              <w:tabs>
                <w:tab w:val="left" w:pos="3240"/>
              </w:tabs>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工程</w:t>
            </w:r>
          </w:p>
        </w:tc>
        <w:tc>
          <w:tcPr>
            <w:tcW w:w="2433" w:type="pct"/>
            <w:shd w:val="clear" w:color="auto" w:fill="auto"/>
            <w:noWrap w:val="0"/>
            <w:vAlign w:val="center"/>
          </w:tcPr>
          <w:p w14:paraId="3EBA7AC3">
            <w:pPr>
              <w:tabs>
                <w:tab w:val="left" w:pos="3240"/>
              </w:tabs>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条件</w:t>
            </w:r>
          </w:p>
        </w:tc>
        <w:tc>
          <w:tcPr>
            <w:tcW w:w="732" w:type="pct"/>
            <w:shd w:val="clear" w:color="auto" w:fill="auto"/>
            <w:noWrap w:val="0"/>
            <w:vAlign w:val="center"/>
          </w:tcPr>
          <w:p w14:paraId="6090E830">
            <w:pPr>
              <w:tabs>
                <w:tab w:val="left" w:pos="3240"/>
              </w:tabs>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评价等级</w:t>
            </w:r>
          </w:p>
        </w:tc>
      </w:tr>
      <w:tr w14:paraId="676F3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pct"/>
            <w:vMerge w:val="restart"/>
            <w:shd w:val="clear" w:color="auto" w:fill="auto"/>
            <w:noWrap w:val="0"/>
            <w:vAlign w:val="center"/>
          </w:tcPr>
          <w:p w14:paraId="6A95A800">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交流</w:t>
            </w:r>
          </w:p>
        </w:tc>
        <w:tc>
          <w:tcPr>
            <w:tcW w:w="761" w:type="pct"/>
            <w:vMerge w:val="restart"/>
            <w:shd w:val="clear" w:color="auto" w:fill="auto"/>
            <w:noWrap w:val="0"/>
            <w:vAlign w:val="center"/>
          </w:tcPr>
          <w:p w14:paraId="657905A9">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220kV</w:t>
            </w:r>
          </w:p>
        </w:tc>
        <w:tc>
          <w:tcPr>
            <w:tcW w:w="615" w:type="pct"/>
            <w:vMerge w:val="restart"/>
            <w:shd w:val="clear" w:color="auto" w:fill="auto"/>
            <w:noWrap w:val="0"/>
            <w:vAlign w:val="center"/>
          </w:tcPr>
          <w:p w14:paraId="796BB4CF">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升压站</w:t>
            </w:r>
          </w:p>
        </w:tc>
        <w:tc>
          <w:tcPr>
            <w:tcW w:w="4146" w:type="dxa"/>
            <w:shd w:val="clear" w:color="auto" w:fill="auto"/>
            <w:noWrap w:val="0"/>
            <w:vAlign w:val="center"/>
          </w:tcPr>
          <w:p w14:paraId="1C4FDF7B">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户内式、地下式</w:t>
            </w:r>
          </w:p>
        </w:tc>
        <w:tc>
          <w:tcPr>
            <w:tcW w:w="732" w:type="pct"/>
            <w:shd w:val="clear" w:color="auto" w:fill="auto"/>
            <w:noWrap w:val="0"/>
            <w:vAlign w:val="center"/>
          </w:tcPr>
          <w:p w14:paraId="069B609C">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三级</w:t>
            </w:r>
          </w:p>
        </w:tc>
      </w:tr>
      <w:tr w14:paraId="765D3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pct"/>
            <w:vMerge w:val="continue"/>
            <w:shd w:val="clear" w:color="auto" w:fill="auto"/>
            <w:noWrap w:val="0"/>
            <w:vAlign w:val="center"/>
          </w:tcPr>
          <w:p w14:paraId="26D7BED2">
            <w:pPr>
              <w:tabs>
                <w:tab w:val="left" w:pos="3240"/>
              </w:tabs>
              <w:spacing w:line="360" w:lineRule="auto"/>
              <w:jc w:val="center"/>
              <w:rPr>
                <w:rFonts w:hint="default" w:ascii="Times New Roman" w:hAnsi="Times New Roman" w:eastAsia="宋体" w:cs="Times New Roman"/>
                <w:color w:val="auto"/>
                <w:szCs w:val="21"/>
                <w:highlight w:val="none"/>
              </w:rPr>
            </w:pPr>
          </w:p>
        </w:tc>
        <w:tc>
          <w:tcPr>
            <w:tcW w:w="761" w:type="pct"/>
            <w:vMerge w:val="continue"/>
            <w:shd w:val="clear" w:color="auto" w:fill="auto"/>
            <w:noWrap w:val="0"/>
            <w:vAlign w:val="center"/>
          </w:tcPr>
          <w:p w14:paraId="3231EA99">
            <w:pPr>
              <w:tabs>
                <w:tab w:val="left" w:pos="3240"/>
              </w:tabs>
              <w:spacing w:line="360" w:lineRule="auto"/>
              <w:jc w:val="center"/>
              <w:rPr>
                <w:rFonts w:hint="default" w:ascii="Times New Roman" w:hAnsi="Times New Roman" w:eastAsia="宋体" w:cs="Times New Roman"/>
                <w:color w:val="auto"/>
                <w:szCs w:val="21"/>
                <w:highlight w:val="none"/>
              </w:rPr>
            </w:pPr>
          </w:p>
        </w:tc>
        <w:tc>
          <w:tcPr>
            <w:tcW w:w="615" w:type="pct"/>
            <w:vMerge w:val="continue"/>
            <w:shd w:val="clear" w:color="auto" w:fill="auto"/>
            <w:noWrap w:val="0"/>
            <w:vAlign w:val="center"/>
          </w:tcPr>
          <w:p w14:paraId="4F4D5F12">
            <w:pPr>
              <w:tabs>
                <w:tab w:val="left" w:pos="3240"/>
              </w:tabs>
              <w:spacing w:line="360" w:lineRule="auto"/>
              <w:jc w:val="center"/>
              <w:rPr>
                <w:rFonts w:hint="default" w:ascii="Times New Roman" w:hAnsi="Times New Roman" w:eastAsia="宋体" w:cs="Times New Roman"/>
                <w:color w:val="auto"/>
                <w:szCs w:val="21"/>
                <w:highlight w:val="none"/>
              </w:rPr>
            </w:pPr>
          </w:p>
        </w:tc>
        <w:tc>
          <w:tcPr>
            <w:tcW w:w="4146" w:type="dxa"/>
            <w:shd w:val="clear" w:color="auto" w:fill="auto"/>
            <w:noWrap w:val="0"/>
            <w:vAlign w:val="center"/>
          </w:tcPr>
          <w:p w14:paraId="6022B8A1">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户外式</w:t>
            </w:r>
          </w:p>
        </w:tc>
        <w:tc>
          <w:tcPr>
            <w:tcW w:w="732" w:type="pct"/>
            <w:shd w:val="clear" w:color="auto" w:fill="auto"/>
            <w:noWrap w:val="0"/>
            <w:vAlign w:val="center"/>
          </w:tcPr>
          <w:p w14:paraId="79411955">
            <w:pPr>
              <w:tabs>
                <w:tab w:val="left" w:pos="3240"/>
              </w:tabs>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w:t>
            </w:r>
          </w:p>
        </w:tc>
      </w:tr>
    </w:tbl>
    <w:p w14:paraId="60C22821">
      <w:pPr>
        <w:tabs>
          <w:tab w:val="left" w:pos="3240"/>
        </w:tabs>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本项目220kV升压站为全户外升压站，电磁环境评价</w:t>
      </w:r>
      <w:r>
        <w:rPr>
          <w:rFonts w:hint="default" w:ascii="Times New Roman" w:hAnsi="Times New Roman" w:eastAsia="宋体" w:cs="Times New Roman"/>
          <w:color w:val="auto"/>
          <w:sz w:val="24"/>
          <w:highlight w:val="none"/>
          <w:lang w:val="en-US" w:eastAsia="zh-CN"/>
        </w:rPr>
        <w:t>等级</w:t>
      </w:r>
      <w:r>
        <w:rPr>
          <w:rFonts w:hint="default" w:ascii="Times New Roman" w:hAnsi="Times New Roman" w:eastAsia="宋体" w:cs="Times New Roman"/>
          <w:color w:val="auto"/>
          <w:sz w:val="24"/>
          <w:highlight w:val="none"/>
        </w:rPr>
        <w:t>为二级。</w:t>
      </w:r>
    </w:p>
    <w:p w14:paraId="559E5616">
      <w:pPr>
        <w:spacing w:line="360" w:lineRule="auto"/>
        <w:jc w:val="left"/>
        <w:outlineLvl w:val="2"/>
        <w:rPr>
          <w:rFonts w:hint="default" w:ascii="Times New Roman" w:hAnsi="Times New Roman" w:eastAsia="宋体" w:cs="Times New Roman"/>
          <w:b/>
          <w:color w:val="auto"/>
          <w:sz w:val="28"/>
          <w:szCs w:val="28"/>
          <w:highlight w:val="none"/>
        </w:rPr>
      </w:pPr>
      <w:bookmarkStart w:id="331" w:name="_Toc24013"/>
      <w:r>
        <w:rPr>
          <w:rFonts w:hint="default" w:ascii="Times New Roman" w:hAnsi="Times New Roman" w:eastAsia="宋体" w:cs="Times New Roman"/>
          <w:b/>
          <w:color w:val="auto"/>
          <w:sz w:val="28"/>
          <w:szCs w:val="28"/>
          <w:highlight w:val="none"/>
        </w:rPr>
        <w:t>2.4评价范围及方法</w:t>
      </w:r>
      <w:bookmarkEnd w:id="331"/>
    </w:p>
    <w:p w14:paraId="4565886F">
      <w:pPr>
        <w:pStyle w:val="43"/>
        <w:keepNext/>
        <w:keepLines/>
        <w:widowControl w:val="0"/>
        <w:spacing w:before="0" w:beforeAutospacing="0" w:after="0" w:afterAutospacing="0" w:line="360" w:lineRule="auto"/>
        <w:ind w:firstLine="482" w:firstLineChars="200"/>
        <w:rPr>
          <w:rFonts w:hint="default" w:ascii="Times New Roman" w:hAnsi="Times New Roman" w:eastAsia="宋体" w:cs="Times New Roman"/>
          <w:b/>
          <w:color w:val="auto"/>
          <w:kern w:val="44"/>
          <w:highlight w:val="none"/>
          <w:lang w:bidi="ar"/>
        </w:rPr>
      </w:pPr>
      <w:r>
        <w:rPr>
          <w:rFonts w:hint="default" w:ascii="Times New Roman" w:hAnsi="Times New Roman" w:eastAsia="宋体" w:cs="Times New Roman"/>
          <w:b/>
          <w:color w:val="auto"/>
          <w:kern w:val="44"/>
          <w:highlight w:val="none"/>
          <w:lang w:bidi="ar"/>
        </w:rPr>
        <w:t>（1）评价范围</w:t>
      </w:r>
    </w:p>
    <w:p w14:paraId="70D95B30">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bidi="ar"/>
        </w:rPr>
        <w:t>根据《环境影响评价技术导则 输变电》（HJ24-2020），本工程为220kV交流输变电工程，建设1座220kV升压站。电磁环境评价范围为：升压站</w:t>
      </w:r>
      <w:r>
        <w:rPr>
          <w:rFonts w:hint="default" w:ascii="Times New Roman" w:hAnsi="Times New Roman" w:eastAsia="宋体" w:cs="Times New Roman"/>
          <w:color w:val="auto"/>
          <w:sz w:val="24"/>
          <w:highlight w:val="none"/>
        </w:rPr>
        <w:t>围墙外40m范围内。</w:t>
      </w:r>
    </w:p>
    <w:p w14:paraId="7926A248">
      <w:pPr>
        <w:pStyle w:val="43"/>
        <w:keepNext/>
        <w:keepLines/>
        <w:widowControl w:val="0"/>
        <w:spacing w:before="0" w:beforeAutospacing="0" w:after="0" w:afterAutospacing="0" w:line="360" w:lineRule="auto"/>
        <w:ind w:firstLine="482" w:firstLineChars="200"/>
        <w:jc w:val="both"/>
        <w:rPr>
          <w:rFonts w:hint="default" w:ascii="Times New Roman" w:hAnsi="Times New Roman" w:eastAsia="宋体" w:cs="Times New Roman"/>
          <w:b/>
          <w:color w:val="auto"/>
          <w:kern w:val="44"/>
          <w:highlight w:val="none"/>
          <w:lang w:bidi="ar"/>
        </w:rPr>
      </w:pPr>
      <w:r>
        <w:rPr>
          <w:rFonts w:hint="default" w:ascii="Times New Roman" w:hAnsi="Times New Roman" w:eastAsia="宋体" w:cs="Times New Roman"/>
          <w:b/>
          <w:color w:val="auto"/>
          <w:kern w:val="44"/>
          <w:highlight w:val="none"/>
          <w:lang w:bidi="ar"/>
        </w:rPr>
        <w:t>（2）评价方法</w:t>
      </w:r>
    </w:p>
    <w:p w14:paraId="6527FECD">
      <w:pPr>
        <w:spacing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本工程220kV升压站电磁环境为二级评价，根据《环境影响评价技术导则 输变电》（HJ24-2020）中二级评价的基本要求：对于变电站、换流站、开关站、串补站，其评价范围内临近各侧站界的电磁环境敏感目标的电磁环境现状应实测，站界电磁环境现状可实测，也可利用已有的最近3年内的电磁环境现状监测资料，并对电磁环境现状进行评价。</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已</w:t>
      </w:r>
      <w:r>
        <w:rPr>
          <w:rFonts w:hint="default" w:ascii="Times New Roman" w:hAnsi="Times New Roman" w:eastAsia="宋体" w:cs="Times New Roman"/>
          <w:color w:val="auto"/>
          <w:sz w:val="24"/>
          <w:highlight w:val="none"/>
        </w:rPr>
        <w:t>安装1台200MVA的主变，</w:t>
      </w:r>
      <w:r>
        <w:rPr>
          <w:rFonts w:hint="default" w:ascii="Times New Roman" w:hAnsi="Times New Roman" w:eastAsia="宋体" w:cs="Times New Roman"/>
          <w:color w:val="auto"/>
          <w:sz w:val="24"/>
          <w:highlight w:val="none"/>
          <w:lang w:val="en-US" w:eastAsia="zh-CN" w:bidi="ar"/>
        </w:rPr>
        <w:t>由于本项目升压站为已建成运营的升压站，</w:t>
      </w:r>
      <w:r>
        <w:rPr>
          <w:rFonts w:hint="default" w:ascii="Times New Roman" w:hAnsi="Times New Roman" w:eastAsia="宋体" w:cs="Times New Roman"/>
          <w:color w:val="auto"/>
          <w:sz w:val="24"/>
          <w:highlight w:val="none"/>
          <w:lang w:bidi="ar"/>
        </w:rPr>
        <w:t>电磁环境影响</w:t>
      </w:r>
      <w:r>
        <w:rPr>
          <w:rFonts w:hint="default" w:ascii="Times New Roman" w:hAnsi="Times New Roman" w:eastAsia="宋体" w:cs="Times New Roman"/>
          <w:color w:val="auto"/>
          <w:sz w:val="24"/>
          <w:highlight w:val="none"/>
          <w:lang w:val="en-US" w:eastAsia="zh-CN" w:bidi="ar"/>
        </w:rPr>
        <w:t>分析</w:t>
      </w:r>
      <w:r>
        <w:rPr>
          <w:rFonts w:hint="default" w:ascii="Times New Roman" w:hAnsi="Times New Roman" w:eastAsia="宋体" w:cs="Times New Roman"/>
          <w:color w:val="auto"/>
          <w:sz w:val="24"/>
          <w:highlight w:val="none"/>
          <w:lang w:bidi="ar"/>
        </w:rPr>
        <w:t>采用</w:t>
      </w:r>
      <w:r>
        <w:rPr>
          <w:rFonts w:hint="default" w:ascii="Times New Roman" w:hAnsi="Times New Roman" w:eastAsia="宋体" w:cs="Times New Roman"/>
          <w:color w:val="auto"/>
          <w:sz w:val="24"/>
          <w:highlight w:val="none"/>
          <w:lang w:val="en-US" w:eastAsia="zh-CN" w:bidi="ar"/>
        </w:rPr>
        <w:t>实测</w:t>
      </w:r>
      <w:r>
        <w:rPr>
          <w:rFonts w:hint="default" w:ascii="Times New Roman" w:hAnsi="Times New Roman" w:eastAsia="宋体" w:cs="Times New Roman"/>
          <w:color w:val="auto"/>
          <w:sz w:val="24"/>
          <w:highlight w:val="none"/>
          <w:lang w:bidi="ar"/>
        </w:rPr>
        <w:t>的方式。</w:t>
      </w:r>
    </w:p>
    <w:p w14:paraId="56624923">
      <w:pPr>
        <w:pStyle w:val="43"/>
        <w:keepNext/>
        <w:keepLines/>
        <w:widowControl w:val="0"/>
        <w:spacing w:before="0" w:beforeAutospacing="0" w:after="0" w:afterAutospacing="0" w:line="360" w:lineRule="auto"/>
        <w:jc w:val="both"/>
        <w:outlineLvl w:val="2"/>
        <w:rPr>
          <w:rFonts w:hint="default" w:ascii="Times New Roman" w:hAnsi="Times New Roman" w:eastAsia="宋体" w:cs="Times New Roman"/>
          <w:b/>
          <w:color w:val="auto"/>
          <w:sz w:val="28"/>
          <w:szCs w:val="28"/>
          <w:highlight w:val="none"/>
        </w:rPr>
      </w:pPr>
      <w:bookmarkStart w:id="332" w:name="_Toc16129"/>
      <w:r>
        <w:rPr>
          <w:rFonts w:hint="default" w:ascii="Times New Roman" w:hAnsi="Times New Roman" w:eastAsia="宋体" w:cs="Times New Roman"/>
          <w:b/>
          <w:color w:val="auto"/>
          <w:sz w:val="28"/>
          <w:szCs w:val="28"/>
          <w:highlight w:val="none"/>
        </w:rPr>
        <w:t>2.5 电磁环境保护目标</w:t>
      </w:r>
      <w:bookmarkEnd w:id="332"/>
    </w:p>
    <w:p w14:paraId="1C5A6B9A">
      <w:pPr>
        <w:spacing w:line="360" w:lineRule="auto"/>
        <w:ind w:firstLine="352" w:firstLineChars="14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根据现场调查，拟建220kV升压站电磁环境评价范围</w:t>
      </w:r>
      <w:r>
        <w:rPr>
          <w:rFonts w:hint="default" w:ascii="Times New Roman" w:hAnsi="Times New Roman" w:eastAsia="宋体" w:cs="Times New Roman"/>
          <w:color w:val="auto"/>
          <w:kern w:val="0"/>
          <w:sz w:val="24"/>
          <w:highlight w:val="none"/>
          <w:lang w:val="en-US" w:eastAsia="zh-CN"/>
        </w:rPr>
        <w:t>内</w:t>
      </w:r>
      <w:r>
        <w:rPr>
          <w:rFonts w:hint="default" w:ascii="Times New Roman" w:hAnsi="Times New Roman" w:eastAsia="宋体" w:cs="Times New Roman"/>
          <w:color w:val="auto"/>
          <w:kern w:val="0"/>
          <w:sz w:val="24"/>
          <w:highlight w:val="none"/>
        </w:rPr>
        <w:t>（站址厂界周围40m范围内）不</w:t>
      </w:r>
      <w:r>
        <w:rPr>
          <w:rFonts w:hint="default" w:ascii="Times New Roman" w:hAnsi="Times New Roman" w:eastAsia="宋体" w:cs="Times New Roman"/>
          <w:color w:val="auto"/>
          <w:sz w:val="24"/>
          <w:highlight w:val="none"/>
        </w:rPr>
        <w:t>涉及电磁环境敏感目标。</w:t>
      </w:r>
    </w:p>
    <w:p w14:paraId="2390504A">
      <w:pPr>
        <w:pStyle w:val="43"/>
        <w:keepNext/>
        <w:keepLines/>
        <w:widowControl w:val="0"/>
        <w:spacing w:before="0" w:beforeAutospacing="0" w:after="0" w:afterAutospacing="0" w:line="360" w:lineRule="auto"/>
        <w:jc w:val="both"/>
        <w:outlineLvl w:val="2"/>
        <w:rPr>
          <w:rFonts w:hint="default" w:ascii="Times New Roman" w:hAnsi="Times New Roman" w:eastAsia="宋体" w:cs="Times New Roman"/>
          <w:b/>
          <w:color w:val="auto"/>
          <w:sz w:val="28"/>
          <w:szCs w:val="28"/>
          <w:highlight w:val="none"/>
        </w:rPr>
      </w:pPr>
      <w:bookmarkStart w:id="333" w:name="_Toc29484"/>
      <w:r>
        <w:rPr>
          <w:rFonts w:hint="default" w:ascii="Times New Roman" w:hAnsi="Times New Roman" w:eastAsia="宋体" w:cs="Times New Roman"/>
          <w:b/>
          <w:color w:val="auto"/>
          <w:sz w:val="28"/>
          <w:szCs w:val="28"/>
          <w:highlight w:val="none"/>
        </w:rPr>
        <w:t>2.6评价重点</w:t>
      </w:r>
      <w:bookmarkEnd w:id="333"/>
    </w:p>
    <w:p w14:paraId="5908F175">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电磁环境评价重点为工程运行期产生的工频电场、工频磁场对周围环境的影响，特别是对工程电磁环境敏感目标的影响。</w:t>
      </w:r>
    </w:p>
    <w:p w14:paraId="0574611D">
      <w:pPr>
        <w:spacing w:line="360" w:lineRule="auto"/>
        <w:rPr>
          <w:rFonts w:hint="default" w:ascii="Times New Roman" w:hAnsi="Times New Roman" w:eastAsia="宋体" w:cs="Times New Roman"/>
          <w:color w:val="auto"/>
          <w:highlight w:val="none"/>
          <w:lang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7C309BD">
      <w:pPr>
        <w:spacing w:before="312" w:beforeLines="100" w:after="156" w:afterLines="50" w:line="360" w:lineRule="auto"/>
        <w:outlineLvl w:val="1"/>
        <w:rPr>
          <w:rFonts w:hint="default" w:ascii="Times New Roman" w:hAnsi="Times New Roman" w:eastAsia="宋体" w:cs="Times New Roman"/>
          <w:b/>
          <w:bCs/>
          <w:color w:val="auto"/>
          <w:sz w:val="32"/>
          <w:szCs w:val="32"/>
          <w:highlight w:val="none"/>
        </w:rPr>
      </w:pPr>
      <w:bookmarkStart w:id="334" w:name="_Toc20483"/>
      <w:r>
        <w:rPr>
          <w:rFonts w:hint="default" w:ascii="Times New Roman" w:hAnsi="Times New Roman" w:eastAsia="宋体" w:cs="Times New Roman"/>
          <w:b/>
          <w:bCs/>
          <w:color w:val="auto"/>
          <w:sz w:val="32"/>
          <w:szCs w:val="32"/>
          <w:highlight w:val="none"/>
        </w:rPr>
        <w:t>3、工程概况及工程分析</w:t>
      </w:r>
      <w:bookmarkEnd w:id="334"/>
    </w:p>
    <w:p w14:paraId="69C804E4">
      <w:pPr>
        <w:spacing w:line="360" w:lineRule="auto"/>
        <w:outlineLvl w:val="2"/>
        <w:rPr>
          <w:rFonts w:hint="default" w:ascii="Times New Roman" w:hAnsi="Times New Roman" w:eastAsia="宋体" w:cs="Times New Roman"/>
          <w:b/>
          <w:color w:val="auto"/>
          <w:sz w:val="28"/>
          <w:szCs w:val="28"/>
          <w:highlight w:val="none"/>
        </w:rPr>
      </w:pPr>
      <w:bookmarkStart w:id="335" w:name="_Toc2922"/>
      <w:r>
        <w:rPr>
          <w:rFonts w:hint="default" w:ascii="Times New Roman" w:hAnsi="Times New Roman" w:eastAsia="宋体" w:cs="Times New Roman"/>
          <w:b/>
          <w:color w:val="auto"/>
          <w:sz w:val="28"/>
          <w:szCs w:val="28"/>
          <w:highlight w:val="none"/>
        </w:rPr>
        <w:t>3.1 工程概况</w:t>
      </w:r>
      <w:bookmarkEnd w:id="335"/>
    </w:p>
    <w:p w14:paraId="248F2A1D">
      <w:pPr>
        <w:tabs>
          <w:tab w:val="left" w:pos="3240"/>
        </w:tabs>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bCs/>
          <w:color w:val="auto"/>
          <w:kern w:val="2"/>
          <w:sz w:val="24"/>
          <w:szCs w:val="24"/>
          <w:highlight w:val="none"/>
          <w:lang w:val="en-US" w:eastAsia="zh-CN" w:bidi="ar-SA"/>
        </w:rPr>
        <w:t>项目概况</w:t>
      </w:r>
    </w:p>
    <w:p w14:paraId="358685E3">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项目名称：</w:t>
      </w:r>
      <w:r>
        <w:rPr>
          <w:rFonts w:hint="eastAsia" w:cs="Times New Roman"/>
          <w:b w:val="0"/>
          <w:bCs w:val="0"/>
          <w:color w:val="auto"/>
          <w:kern w:val="2"/>
          <w:sz w:val="24"/>
          <w:szCs w:val="24"/>
          <w:highlight w:val="none"/>
          <w:lang w:val="en-US" w:eastAsia="zh-CN" w:bidi="ar-SA"/>
        </w:rPr>
        <w:t>岩子头生态修复光伏电站220kV升压站</w:t>
      </w:r>
    </w:p>
    <w:p w14:paraId="0253283F">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建设地点：</w:t>
      </w:r>
      <w:r>
        <w:rPr>
          <w:rFonts w:hint="default" w:ascii="Times New Roman" w:hAnsi="Times New Roman" w:eastAsia="宋体" w:cs="Times New Roman"/>
          <w:b w:val="0"/>
          <w:bCs w:val="0"/>
          <w:color w:val="auto"/>
          <w:kern w:val="2"/>
          <w:sz w:val="24"/>
          <w:szCs w:val="24"/>
          <w:highlight w:val="none"/>
          <w:lang w:val="en-US" w:eastAsia="zh-CN" w:bidi="ar-SA"/>
        </w:rPr>
        <w:t>昆明市禄劝县团街镇境内</w:t>
      </w:r>
    </w:p>
    <w:p w14:paraId="4AFB0855">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建设单位：</w:t>
      </w:r>
      <w:r>
        <w:rPr>
          <w:rFonts w:hint="default" w:ascii="Times New Roman" w:hAnsi="Times New Roman" w:eastAsia="宋体" w:cs="Times New Roman"/>
          <w:b w:val="0"/>
          <w:bCs w:val="0"/>
          <w:color w:val="auto"/>
          <w:kern w:val="0"/>
          <w:sz w:val="24"/>
          <w:szCs w:val="24"/>
          <w:highlight w:val="none"/>
          <w:lang w:val="en-US" w:eastAsia="zh-CN" w:bidi="ar-SA"/>
        </w:rPr>
        <w:t>禄劝万佳光伏发电有限公司</w:t>
      </w:r>
    </w:p>
    <w:p w14:paraId="38A04FAC">
      <w:pPr>
        <w:pStyle w:val="30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建设性质：新建</w:t>
      </w:r>
    </w:p>
    <w:p w14:paraId="15D50208">
      <w:pPr>
        <w:pStyle w:val="301"/>
        <w:keepNext w:val="0"/>
        <w:keepLines w:val="0"/>
        <w:pageBreakBefore w:val="0"/>
        <w:widowControl w:val="0"/>
        <w:tabs>
          <w:tab w:val="left" w:pos="3150"/>
        </w:tabs>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总投资：</w:t>
      </w:r>
      <w:r>
        <w:rPr>
          <w:rFonts w:hint="default" w:ascii="Times New Roman" w:hAnsi="Times New Roman" w:eastAsia="宋体" w:cs="Times New Roman"/>
          <w:color w:val="auto"/>
          <w:sz w:val="24"/>
          <w:szCs w:val="24"/>
          <w:highlight w:val="none"/>
          <w:lang w:val="en-US" w:eastAsia="zh-CN"/>
        </w:rPr>
        <w:t>1379</w:t>
      </w:r>
      <w:r>
        <w:rPr>
          <w:rFonts w:hint="default" w:ascii="Times New Roman" w:hAnsi="Times New Roman" w:eastAsia="宋体" w:cs="Times New Roman"/>
          <w:b w:val="0"/>
          <w:bCs w:val="0"/>
          <w:snapToGrid w:val="0"/>
          <w:color w:val="auto"/>
          <w:kern w:val="0"/>
          <w:sz w:val="24"/>
          <w:szCs w:val="24"/>
          <w:highlight w:val="none"/>
          <w:lang w:val="en-US" w:eastAsia="zh-CN" w:bidi="ar-SA"/>
        </w:rPr>
        <w:t>万元</w:t>
      </w:r>
    </w:p>
    <w:p w14:paraId="7BC56A6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bidi="ar-SA"/>
        </w:rPr>
        <w:t>建设内容及规模：本项目</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eastAsia" w:cs="Times New Roman"/>
          <w:color w:val="auto"/>
          <w:kern w:val="0"/>
          <w:sz w:val="24"/>
          <w:szCs w:val="24"/>
          <w:highlight w:val="none"/>
          <w:lang w:val="en-US" w:eastAsia="zh-CN"/>
        </w:rPr>
        <w:t>属于中清能禄劝县岩子头200MW生态修复光伏电站项目（岩子头生态修复光伏电站）配套建设的升压站</w:t>
      </w:r>
      <w:r>
        <w:rPr>
          <w:rFonts w:hint="default" w:ascii="Times New Roman" w:hAnsi="Times New Roman" w:eastAsia="宋体" w:cs="Times New Roman"/>
          <w:color w:val="auto"/>
          <w:sz w:val="24"/>
          <w:szCs w:val="24"/>
          <w:highlight w:val="none"/>
          <w:lang w:val="en-US" w:eastAsia="zh-CN"/>
        </w:rPr>
        <w:t>，且220kV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lang w:val="en-US" w:eastAsia="zh-CN"/>
        </w:rPr>
        <w:t>，以及升压站建设期和运营期“三废”、噪声、生态环境及环境风险影响等内容均已在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szCs w:val="22"/>
          <w:highlight w:val="none"/>
          <w:lang w:val="en-US" w:eastAsia="zh-CN"/>
        </w:rPr>
        <w:t>根据现场调查，</w:t>
      </w:r>
      <w:r>
        <w:rPr>
          <w:rFonts w:hint="default" w:ascii="Times New Roman" w:hAnsi="Times New Roman" w:eastAsia="宋体" w:cs="Times New Roman"/>
          <w:color w:val="auto"/>
          <w:sz w:val="24"/>
          <w:szCs w:val="22"/>
          <w:highlight w:val="none"/>
          <w:u w:val="none"/>
          <w:lang w:val="en-US" w:eastAsia="zh-CN"/>
        </w:rPr>
        <w:t>升压站在取得环评批复后</w:t>
      </w:r>
      <w:r>
        <w:rPr>
          <w:rFonts w:hint="default" w:ascii="Times New Roman" w:hAnsi="Times New Roman" w:eastAsia="宋体" w:cs="Times New Roman"/>
          <w:color w:val="auto"/>
          <w:sz w:val="24"/>
          <w:szCs w:val="22"/>
          <w:highlight w:val="none"/>
          <w:lang w:val="en-US" w:eastAsia="zh-CN"/>
        </w:rPr>
        <w:t>已于2023年11月开工建设，于2024年3月建设完工，于2024年6月投入试运行。</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kern w:val="0"/>
          <w:sz w:val="24"/>
          <w:szCs w:val="24"/>
          <w:highlight w:val="none"/>
          <w:lang w:val="en-US" w:eastAsia="zh-CN"/>
        </w:rPr>
        <w:t>220kV</w:t>
      </w:r>
      <w:r>
        <w:rPr>
          <w:rFonts w:hint="default" w:ascii="Times New Roman" w:hAnsi="Times New Roman" w:eastAsia="宋体" w:cs="Times New Roman"/>
          <w:color w:val="auto"/>
          <w:sz w:val="24"/>
          <w:highlight w:val="none"/>
          <w:lang w:val="en-US" w:eastAsia="zh-CN"/>
        </w:rPr>
        <w:t>升压站总占地面积</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不含进场道路</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项目已建主要建设内容主要包括：综合楼、附属用房、电气预制舱、1台</w:t>
      </w:r>
      <w:r>
        <w:rPr>
          <w:rFonts w:hint="default" w:ascii="Times New Roman" w:hAnsi="Times New Roman" w:eastAsia="宋体" w:cs="Times New Roman"/>
          <w:snapToGrid w:val="0"/>
          <w:color w:val="auto"/>
          <w:kern w:val="0"/>
          <w:sz w:val="24"/>
          <w:szCs w:val="24"/>
          <w:highlight w:val="none"/>
          <w:lang w:val="en-US" w:eastAsia="zh-CN" w:bidi="ar-SA"/>
        </w:rPr>
        <w:t>200MVA</w:t>
      </w:r>
      <w:r>
        <w:rPr>
          <w:rFonts w:hint="default" w:ascii="Times New Roman" w:hAnsi="Times New Roman" w:eastAsia="宋体" w:cs="Times New Roman"/>
          <w:color w:val="auto"/>
          <w:sz w:val="24"/>
          <w:szCs w:val="24"/>
          <w:highlight w:val="none"/>
          <w:vertAlign w:val="baseline"/>
          <w:lang w:val="en-US" w:eastAsia="zh-CN"/>
        </w:rPr>
        <w:t>主变压器、GIS及出线构架、SVG户外成套装置及相关配套设施</w:t>
      </w:r>
      <w:r>
        <w:rPr>
          <w:rFonts w:hint="default" w:ascii="Times New Roman" w:hAnsi="Times New Roman" w:eastAsia="宋体" w:cs="Times New Roman"/>
          <w:snapToGrid w:val="0"/>
          <w:color w:val="auto"/>
          <w:kern w:val="0"/>
          <w:sz w:val="24"/>
          <w:szCs w:val="24"/>
          <w:highlight w:val="none"/>
          <w:lang w:val="en-US" w:eastAsia="zh-CN" w:bidi="ar-SA"/>
        </w:rPr>
        <w:t>，即本次评价内容为升压站已建1台200MVA主变压器及相关设施运行所产生的电磁辐射相关内容。</w:t>
      </w:r>
    </w:p>
    <w:p w14:paraId="10F77D8C">
      <w:pPr>
        <w:spacing w:line="360" w:lineRule="auto"/>
        <w:ind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val="0"/>
          <w:bCs w:val="0"/>
          <w:color w:val="auto"/>
          <w:kern w:val="0"/>
          <w:sz w:val="24"/>
          <w:szCs w:val="24"/>
          <w:highlight w:val="none"/>
          <w:lang w:val="en-US" w:eastAsia="zh-CN" w:bidi="ar-SA"/>
        </w:rPr>
        <w:t>本项目主要具体内容见表3-1。</w:t>
      </w:r>
    </w:p>
    <w:p w14:paraId="47EB66B3">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  本</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主要建设内容</w:t>
      </w:r>
      <w:r>
        <w:rPr>
          <w:rFonts w:hint="default" w:ascii="Times New Roman" w:hAnsi="Times New Roman" w:eastAsia="宋体" w:cs="Times New Roman"/>
          <w:b/>
          <w:bCs/>
          <w:color w:val="auto"/>
          <w:sz w:val="24"/>
          <w:szCs w:val="24"/>
          <w:highlight w:val="none"/>
        </w:rPr>
        <w:t>一览表</w:t>
      </w:r>
    </w:p>
    <w:tbl>
      <w:tblPr>
        <w:tblStyle w:val="50"/>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08"/>
        <w:gridCol w:w="387"/>
        <w:gridCol w:w="952"/>
        <w:gridCol w:w="5523"/>
        <w:gridCol w:w="1168"/>
      </w:tblGrid>
      <w:tr w14:paraId="5D92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8" w:hRule="atLeast"/>
          <w:jc w:val="center"/>
        </w:trPr>
        <w:tc>
          <w:tcPr>
            <w:tcW w:w="297" w:type="pct"/>
            <w:vAlign w:val="center"/>
          </w:tcPr>
          <w:p w14:paraId="27509062">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lang w:val="en-US" w:eastAsia="zh-CN"/>
              </w:rPr>
            </w:pPr>
            <w:bookmarkStart w:id="336" w:name="_Toc27042"/>
            <w:r>
              <w:rPr>
                <w:rFonts w:hint="default" w:ascii="Times New Roman" w:hAnsi="Times New Roman" w:eastAsia="宋体" w:cs="Times New Roman"/>
                <w:b/>
                <w:bCs/>
                <w:color w:val="auto"/>
                <w:kern w:val="0"/>
                <w:sz w:val="21"/>
                <w:szCs w:val="21"/>
                <w:highlight w:val="none"/>
                <w:lang w:val="en-US" w:eastAsia="zh-CN"/>
              </w:rPr>
              <w:t>工程</w:t>
            </w:r>
          </w:p>
          <w:p w14:paraId="6079B2DB">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类型</w:t>
            </w:r>
          </w:p>
        </w:tc>
        <w:tc>
          <w:tcPr>
            <w:tcW w:w="784" w:type="pct"/>
            <w:gridSpan w:val="2"/>
            <w:vAlign w:val="center"/>
          </w:tcPr>
          <w:p w14:paraId="1871558D">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单项</w:t>
            </w:r>
            <w:r>
              <w:rPr>
                <w:rFonts w:hint="default" w:ascii="Times New Roman" w:hAnsi="Times New Roman" w:eastAsia="宋体" w:cs="Times New Roman"/>
                <w:b/>
                <w:bCs/>
                <w:color w:val="auto"/>
                <w:kern w:val="0"/>
                <w:sz w:val="21"/>
                <w:szCs w:val="21"/>
                <w:highlight w:val="none"/>
              </w:rPr>
              <w:t>工</w:t>
            </w:r>
          </w:p>
          <w:p w14:paraId="493154CC">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程名称</w:t>
            </w:r>
          </w:p>
        </w:tc>
        <w:tc>
          <w:tcPr>
            <w:tcW w:w="3234" w:type="pct"/>
            <w:vAlign w:val="center"/>
          </w:tcPr>
          <w:p w14:paraId="3FBBF31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建设内容及规模</w:t>
            </w:r>
          </w:p>
        </w:tc>
        <w:tc>
          <w:tcPr>
            <w:tcW w:w="683" w:type="pct"/>
            <w:vAlign w:val="center"/>
          </w:tcPr>
          <w:p w14:paraId="00B709E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备注</w:t>
            </w:r>
          </w:p>
        </w:tc>
      </w:tr>
      <w:tr w14:paraId="1D44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8" w:hRule="atLeast"/>
          <w:jc w:val="center"/>
        </w:trPr>
        <w:tc>
          <w:tcPr>
            <w:tcW w:w="297" w:type="pct"/>
            <w:vAlign w:val="center"/>
          </w:tcPr>
          <w:p w14:paraId="7ED65390">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color w:val="auto"/>
                <w:kern w:val="0"/>
                <w:sz w:val="21"/>
                <w:szCs w:val="21"/>
                <w:highlight w:val="none"/>
              </w:rPr>
              <w:t>主体工程</w:t>
            </w:r>
          </w:p>
        </w:tc>
        <w:tc>
          <w:tcPr>
            <w:tcW w:w="784" w:type="pct"/>
            <w:gridSpan w:val="2"/>
            <w:vAlign w:val="center"/>
          </w:tcPr>
          <w:p w14:paraId="2C83224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220kV升压站</w:t>
            </w:r>
          </w:p>
        </w:tc>
        <w:tc>
          <w:tcPr>
            <w:tcW w:w="3234" w:type="pct"/>
            <w:vAlign w:val="center"/>
          </w:tcPr>
          <w:p w14:paraId="5B76F337">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设220kV升压站1座，已建1台主变容量为1×200MVA</w:t>
            </w:r>
            <w:r>
              <w:rPr>
                <w:rFonts w:hint="default" w:ascii="Times New Roman" w:hAnsi="Times New Roman" w:eastAsia="宋体" w:cs="Times New Roman"/>
                <w:snapToGrid w:val="0"/>
                <w:color w:val="auto"/>
                <w:kern w:val="0"/>
                <w:sz w:val="21"/>
                <w:szCs w:val="21"/>
                <w:highlight w:val="none"/>
                <w:lang w:val="en-US" w:eastAsia="zh-CN" w:bidi="ar-SA"/>
              </w:rPr>
              <w:t>油浸三相双绕组有载调压风冷升压主变压器</w:t>
            </w:r>
            <w:r>
              <w:rPr>
                <w:rFonts w:hint="default" w:ascii="Times New Roman" w:hAnsi="Times New Roman" w:eastAsia="宋体" w:cs="Times New Roman"/>
                <w:snapToGrid w:val="0"/>
                <w:color w:val="auto"/>
                <w:kern w:val="0"/>
                <w:sz w:val="21"/>
                <w:szCs w:val="21"/>
                <w:highlight w:val="none"/>
                <w:lang w:val="en-US" w:eastAsia="zh-CN"/>
              </w:rPr>
              <w:t>，主变采用户外布置方式；</w:t>
            </w:r>
          </w:p>
          <w:p w14:paraId="327AEBC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220kV采用单母线接线，2回出线（</w:t>
            </w:r>
            <w:r>
              <w:rPr>
                <w:rFonts w:hint="eastAsia" w:cs="Times New Roman"/>
                <w:snapToGrid w:val="0"/>
                <w:color w:val="auto"/>
                <w:kern w:val="0"/>
                <w:sz w:val="21"/>
                <w:szCs w:val="21"/>
                <w:highlight w:val="none"/>
                <w:lang w:val="en-US" w:eastAsia="zh-CN"/>
              </w:rPr>
              <w:t>其中</w:t>
            </w:r>
            <w:r>
              <w:rPr>
                <w:rFonts w:hint="default" w:ascii="Times New Roman" w:hAnsi="Times New Roman" w:eastAsia="宋体" w:cs="Times New Roman"/>
                <w:snapToGrid w:val="0"/>
                <w:color w:val="auto"/>
                <w:kern w:val="0"/>
                <w:sz w:val="21"/>
                <w:szCs w:val="21"/>
                <w:highlight w:val="none"/>
                <w:lang w:val="en-US" w:eastAsia="zh-CN"/>
              </w:rPr>
              <w:t>已建1回220kV线路接至220kV三朵开关站</w:t>
            </w:r>
            <w:r>
              <w:rPr>
                <w:rFonts w:hint="eastAsia" w:cs="Times New Roman"/>
                <w:snapToGrid w:val="0"/>
                <w:color w:val="auto"/>
                <w:kern w:val="0"/>
                <w:sz w:val="21"/>
                <w:szCs w:val="21"/>
                <w:highlight w:val="none"/>
                <w:lang w:val="en-US" w:eastAsia="zh-CN"/>
              </w:rPr>
              <w:t>、已建1回</w:t>
            </w:r>
            <w:r>
              <w:rPr>
                <w:rFonts w:hint="default" w:ascii="Times New Roman" w:hAnsi="Times New Roman" w:eastAsia="宋体" w:cs="Times New Roman"/>
                <w:snapToGrid w:val="0"/>
                <w:color w:val="auto"/>
                <w:kern w:val="0"/>
                <w:sz w:val="21"/>
                <w:szCs w:val="21"/>
                <w:highlight w:val="none"/>
                <w:lang w:val="en-US" w:eastAsia="zh-CN"/>
              </w:rPr>
              <w:t>220kV线路</w:t>
            </w:r>
            <w:r>
              <w:rPr>
                <w:rFonts w:hint="eastAsia" w:cs="Times New Roman"/>
                <w:snapToGrid w:val="0"/>
                <w:color w:val="auto"/>
                <w:kern w:val="0"/>
                <w:sz w:val="21"/>
                <w:szCs w:val="21"/>
                <w:highlight w:val="none"/>
                <w:lang w:val="en-US" w:eastAsia="zh-CN"/>
              </w:rPr>
              <w:t>由娜拥光伏电站接入</w:t>
            </w:r>
            <w:r>
              <w:rPr>
                <w:rFonts w:hint="default" w:ascii="Times New Roman" w:hAnsi="Times New Roman" w:eastAsia="宋体" w:cs="Times New Roman"/>
                <w:snapToGrid w:val="0"/>
                <w:color w:val="auto"/>
                <w:kern w:val="0"/>
                <w:sz w:val="21"/>
                <w:szCs w:val="21"/>
                <w:highlight w:val="none"/>
                <w:lang w:val="en-US" w:eastAsia="zh-CN"/>
              </w:rPr>
              <w:t>）</w:t>
            </w:r>
            <w:r>
              <w:rPr>
                <w:rFonts w:hint="default" w:ascii="Times New Roman" w:hAnsi="Times New Roman" w:eastAsia="宋体" w:cs="Times New Roman"/>
                <w:b w:val="0"/>
                <w:bCs w:val="0"/>
                <w:snapToGrid w:val="0"/>
                <w:color w:val="auto"/>
                <w:kern w:val="0"/>
                <w:sz w:val="21"/>
                <w:szCs w:val="21"/>
                <w:highlight w:val="none"/>
                <w:lang w:val="en-US" w:eastAsia="zh-CN"/>
              </w:rPr>
              <w:t>，升压站220kV配电装置采用户外GIS设备布置，主变压器高压侧采用钢芯铝绞线与220kV户外GIS配电装置相连，低压侧采用全绝缘管母方式与35kV配电装置连接。在220kV屋外配电装置出线处设置门型构架，便于架空导线引出。</w:t>
            </w:r>
          </w:p>
          <w:p w14:paraId="080BB4E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在35kV每段母线分别装设一套34MVar的无功补偿装置，采用水冷SVG型式；主变压器低压侧35kV母线，设置接地变2台，型号为DKSC-1000/37，接地变容量为1000kVA；35kV系统采用小电阻接地系统。</w:t>
            </w:r>
          </w:p>
          <w:p w14:paraId="5D218E4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SVG户外成套装置及出线构架布置在站区的东侧，与主变成一字型布置；电气预制舱布置于主变西侧。</w:t>
            </w:r>
          </w:p>
        </w:tc>
        <w:tc>
          <w:tcPr>
            <w:tcW w:w="683" w:type="pct"/>
            <w:vAlign w:val="center"/>
          </w:tcPr>
          <w:p w14:paraId="2680185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 w:leftChars="-30" w:right="-63" w:rightChars="-3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p w14:paraId="35036CE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 w:leftChars="-30" w:right="-63" w:rightChars="-3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p w14:paraId="44D1A03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 w:leftChars="-30" w:right="-63" w:rightChars="-3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p w14:paraId="0A12949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 w:leftChars="-30" w:right="-63" w:rightChars="-3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p w14:paraId="1E47D68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 w:leftChars="-30" w:right="-63" w:rightChars="-3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已建成，本环评仅对已建1台200MVA主变压器及相关设施运行所产生辐射进行评价。</w:t>
            </w:r>
          </w:p>
        </w:tc>
      </w:tr>
      <w:tr w14:paraId="1B6A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8" w:hRule="atLeast"/>
          <w:jc w:val="center"/>
        </w:trPr>
        <w:tc>
          <w:tcPr>
            <w:tcW w:w="297" w:type="pct"/>
            <w:vMerge w:val="restart"/>
            <w:vAlign w:val="center"/>
          </w:tcPr>
          <w:p w14:paraId="7CD4F6D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p>
          <w:p w14:paraId="11F57EB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辅助工程</w:t>
            </w:r>
          </w:p>
        </w:tc>
        <w:tc>
          <w:tcPr>
            <w:tcW w:w="784" w:type="pct"/>
            <w:gridSpan w:val="2"/>
            <w:vAlign w:val="center"/>
          </w:tcPr>
          <w:p w14:paraId="0337AB0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0"/>
                <w:sz w:val="21"/>
                <w:szCs w:val="21"/>
                <w:highlight w:val="none"/>
                <w:lang w:val="en-US" w:eastAsia="zh-CN"/>
              </w:rPr>
              <w:t>综合楼</w:t>
            </w:r>
          </w:p>
        </w:tc>
        <w:tc>
          <w:tcPr>
            <w:tcW w:w="3234" w:type="pct"/>
            <w:vAlign w:val="center"/>
          </w:tcPr>
          <w:p w14:paraId="5EFAE23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综合楼占地面积约933.21m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，二层砖混结构，布置在站区的西侧，一层主要设置厨房、餐厅、会议室、休息间、控制室、卫生间，二层主要设置活动室、休息间、资料室及办公室。</w:t>
            </w:r>
          </w:p>
        </w:tc>
        <w:tc>
          <w:tcPr>
            <w:tcW w:w="683" w:type="pct"/>
            <w:vMerge w:val="restart"/>
            <w:vAlign w:val="center"/>
          </w:tcPr>
          <w:p w14:paraId="6E2C876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已建成，且已在《中清能禄劝县岩子头200MW生态修复光伏电站项目环境影响报告表》中进行评价</w:t>
            </w:r>
          </w:p>
        </w:tc>
      </w:tr>
      <w:tr w14:paraId="3EC6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19" w:hRule="atLeast"/>
          <w:jc w:val="center"/>
        </w:trPr>
        <w:tc>
          <w:tcPr>
            <w:tcW w:w="297" w:type="pct"/>
            <w:vMerge w:val="continue"/>
            <w:vAlign w:val="center"/>
          </w:tcPr>
          <w:p w14:paraId="410FE03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84" w:type="pct"/>
            <w:gridSpan w:val="2"/>
            <w:shd w:val="clear" w:color="auto" w:fill="auto"/>
            <w:vAlign w:val="center"/>
          </w:tcPr>
          <w:p w14:paraId="3D463324">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站用电系统</w:t>
            </w:r>
          </w:p>
        </w:tc>
        <w:tc>
          <w:tcPr>
            <w:tcW w:w="3234" w:type="pct"/>
            <w:shd w:val="clear" w:color="auto" w:fill="auto"/>
            <w:vAlign w:val="center"/>
          </w:tcPr>
          <w:p w14:paraId="2845941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z w:val="21"/>
                <w:szCs w:val="21"/>
                <w:highlight w:val="none"/>
              </w:rPr>
              <w:t>采用800kVA站用变容量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变压器选用干式变压器，电源从35kV配电装置引接，站用电380V配电装置选用MNS型低压配电柜，采用电缆馈出至用电负荷</w:t>
            </w:r>
            <w:r>
              <w:rPr>
                <w:rFonts w:hint="default" w:ascii="Times New Roman" w:hAnsi="Times New Roman" w:eastAsia="宋体" w:cs="Times New Roman"/>
                <w:color w:val="auto"/>
                <w:sz w:val="21"/>
                <w:szCs w:val="21"/>
                <w:highlight w:val="none"/>
                <w:lang w:eastAsia="zh-CN"/>
              </w:rPr>
              <w:t>。</w:t>
            </w:r>
          </w:p>
        </w:tc>
        <w:tc>
          <w:tcPr>
            <w:tcW w:w="683" w:type="pct"/>
            <w:vMerge w:val="continue"/>
            <w:shd w:val="clear" w:color="auto" w:fill="auto"/>
            <w:vAlign w:val="center"/>
          </w:tcPr>
          <w:p w14:paraId="220F7BF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2D48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297" w:type="pct"/>
            <w:vMerge w:val="continue"/>
            <w:vAlign w:val="center"/>
          </w:tcPr>
          <w:p w14:paraId="5B728D5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19D9A5E1">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避雷针</w:t>
            </w:r>
          </w:p>
        </w:tc>
        <w:tc>
          <w:tcPr>
            <w:tcW w:w="3234" w:type="pct"/>
            <w:vAlign w:val="center"/>
          </w:tcPr>
          <w:p w14:paraId="5FFE24BA">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采用40m高避雷针1座，避雷针为法兰连接钢管的型式</w:t>
            </w:r>
          </w:p>
        </w:tc>
        <w:tc>
          <w:tcPr>
            <w:tcW w:w="683" w:type="pct"/>
            <w:vMerge w:val="continue"/>
            <w:vAlign w:val="center"/>
          </w:tcPr>
          <w:p w14:paraId="7D1E9B9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B43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62ACF33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33EE1305">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围墙及大门</w:t>
            </w:r>
          </w:p>
        </w:tc>
        <w:tc>
          <w:tcPr>
            <w:tcW w:w="3234" w:type="pct"/>
            <w:vAlign w:val="center"/>
          </w:tcPr>
          <w:p w14:paraId="0610B27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升压站四周采用2.5m高实体砖围墙，升压站大门宽6m。</w:t>
            </w:r>
          </w:p>
        </w:tc>
        <w:tc>
          <w:tcPr>
            <w:tcW w:w="683" w:type="pct"/>
            <w:vMerge w:val="continue"/>
            <w:vAlign w:val="center"/>
          </w:tcPr>
          <w:p w14:paraId="0307839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D3B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297" w:type="pct"/>
            <w:vMerge w:val="continue"/>
            <w:vAlign w:val="center"/>
          </w:tcPr>
          <w:p w14:paraId="3880884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2552291F">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站内道路</w:t>
            </w:r>
          </w:p>
        </w:tc>
        <w:tc>
          <w:tcPr>
            <w:tcW w:w="3234" w:type="pct"/>
            <w:vAlign w:val="center"/>
          </w:tcPr>
          <w:p w14:paraId="0C09BF4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站内道路采用郊区型混凝土道路，道路宽度为4.5m，转弯半径为9m，布置在站区西南侧与进站道路相接。</w:t>
            </w:r>
          </w:p>
        </w:tc>
        <w:tc>
          <w:tcPr>
            <w:tcW w:w="683" w:type="pct"/>
            <w:vMerge w:val="continue"/>
            <w:vAlign w:val="center"/>
          </w:tcPr>
          <w:p w14:paraId="15C343A3">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1227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88" w:hRule="atLeast"/>
          <w:jc w:val="center"/>
        </w:trPr>
        <w:tc>
          <w:tcPr>
            <w:tcW w:w="297" w:type="pct"/>
            <w:vMerge w:val="continue"/>
            <w:vAlign w:val="center"/>
          </w:tcPr>
          <w:p w14:paraId="1465AF0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65BE30F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附属用房</w:t>
            </w:r>
          </w:p>
        </w:tc>
        <w:tc>
          <w:tcPr>
            <w:tcW w:w="3234" w:type="pct"/>
            <w:vAlign w:val="center"/>
          </w:tcPr>
          <w:p w14:paraId="586BFDD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附属用房占地面积约210.51</w:t>
            </w:r>
            <w:r>
              <w:rPr>
                <w:rFonts w:hint="default" w:ascii="Times New Roman" w:hAnsi="Times New Roman" w:eastAsia="宋体" w:cs="Times New Roman"/>
                <w:snapToGrid w:val="0"/>
                <w:color w:val="auto"/>
                <w:kern w:val="0"/>
                <w:sz w:val="21"/>
                <w:szCs w:val="21"/>
                <w:highlight w:val="none"/>
                <w:lang w:val="en-US" w:eastAsia="zh-CN"/>
              </w:rPr>
              <w:t>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，地上一层，框架结构，地下局部负一层，布置在站区的西侧，其中地下一层设置消防水池、消防水泵房，一层主要设置工具间、备品备件间、生活水泵房等。</w:t>
            </w:r>
          </w:p>
        </w:tc>
        <w:tc>
          <w:tcPr>
            <w:tcW w:w="683" w:type="pct"/>
            <w:vMerge w:val="continue"/>
            <w:vAlign w:val="center"/>
          </w:tcPr>
          <w:p w14:paraId="55AFC5A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243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restart"/>
            <w:vAlign w:val="center"/>
          </w:tcPr>
          <w:p w14:paraId="36B4D06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p w14:paraId="265D470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p w14:paraId="257810F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环保工程</w:t>
            </w:r>
          </w:p>
        </w:tc>
        <w:tc>
          <w:tcPr>
            <w:tcW w:w="226" w:type="pct"/>
            <w:vMerge w:val="restart"/>
            <w:vAlign w:val="center"/>
          </w:tcPr>
          <w:p w14:paraId="55268319">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废水</w:t>
            </w:r>
          </w:p>
        </w:tc>
        <w:tc>
          <w:tcPr>
            <w:tcW w:w="557" w:type="pct"/>
            <w:vAlign w:val="center"/>
          </w:tcPr>
          <w:p w14:paraId="6177C87D">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雨水沟</w:t>
            </w:r>
          </w:p>
        </w:tc>
        <w:tc>
          <w:tcPr>
            <w:tcW w:w="3234" w:type="pct"/>
            <w:vAlign w:val="center"/>
          </w:tcPr>
          <w:p w14:paraId="1931AB9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pacing w:val="0"/>
                <w:sz w:val="21"/>
                <w:szCs w:val="21"/>
                <w:highlight w:val="none"/>
                <w:lang w:val="en-US" w:eastAsia="zh-CN"/>
              </w:rPr>
              <w:t>厂区内设置雨水沟，设置雨污分流系统</w:t>
            </w:r>
            <w:r>
              <w:rPr>
                <w:rFonts w:hint="default" w:ascii="Times New Roman" w:hAnsi="Times New Roman" w:eastAsia="宋体" w:cs="Times New Roman"/>
                <w:color w:val="auto"/>
                <w:spacing w:val="0"/>
                <w:sz w:val="21"/>
                <w:szCs w:val="21"/>
                <w:highlight w:val="none"/>
              </w:rPr>
              <w:t>。</w:t>
            </w:r>
          </w:p>
        </w:tc>
        <w:tc>
          <w:tcPr>
            <w:tcW w:w="683" w:type="pct"/>
            <w:vMerge w:val="restart"/>
            <w:vAlign w:val="center"/>
          </w:tcPr>
          <w:p w14:paraId="2343425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已建成，且已在《中清能禄劝县岩子头200MW生态修复光伏电站项目环境影响报告表》中进行评价</w:t>
            </w:r>
          </w:p>
        </w:tc>
      </w:tr>
      <w:tr w14:paraId="2779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5C4B4E6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continue"/>
            <w:vAlign w:val="center"/>
          </w:tcPr>
          <w:p w14:paraId="4F41D066">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7" w:type="pct"/>
            <w:vAlign w:val="center"/>
          </w:tcPr>
          <w:p w14:paraId="5ADAA7B3">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隔油池</w:t>
            </w:r>
          </w:p>
        </w:tc>
        <w:tc>
          <w:tcPr>
            <w:tcW w:w="3234" w:type="pct"/>
            <w:vAlign w:val="center"/>
          </w:tcPr>
          <w:p w14:paraId="505472A1">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rPr>
              <w:t>隔油池</w:t>
            </w:r>
            <w:r>
              <w:rPr>
                <w:rFonts w:hint="default" w:ascii="Times New Roman" w:hAnsi="Times New Roman" w:eastAsia="宋体" w:cs="Times New Roman"/>
                <w:color w:val="auto"/>
                <w:sz w:val="21"/>
                <w:szCs w:val="21"/>
                <w:highlight w:val="none"/>
                <w:lang w:val="en-US" w:eastAsia="zh-CN"/>
              </w:rPr>
              <w:t>1个，容积为</w:t>
            </w:r>
            <w:r>
              <w:rPr>
                <w:rFonts w:hint="default" w:ascii="Times New Roman" w:hAnsi="Times New Roman" w:eastAsia="宋体" w:cs="Times New Roman"/>
                <w:color w:val="auto"/>
                <w:sz w:val="21"/>
                <w:szCs w:val="21"/>
                <w:highlight w:val="none"/>
              </w:rPr>
              <w:t>0.5m³</w:t>
            </w:r>
          </w:p>
        </w:tc>
        <w:tc>
          <w:tcPr>
            <w:tcW w:w="683" w:type="pct"/>
            <w:vMerge w:val="continue"/>
            <w:vAlign w:val="center"/>
          </w:tcPr>
          <w:p w14:paraId="50250A8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443F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07F1B41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continue"/>
            <w:vAlign w:val="center"/>
          </w:tcPr>
          <w:p w14:paraId="041341AB">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7" w:type="pct"/>
            <w:vAlign w:val="center"/>
          </w:tcPr>
          <w:p w14:paraId="7A0F0962">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化粪池</w:t>
            </w:r>
          </w:p>
        </w:tc>
        <w:tc>
          <w:tcPr>
            <w:tcW w:w="3234" w:type="pct"/>
            <w:vAlign w:val="center"/>
          </w:tcPr>
          <w:p w14:paraId="5F53A3EE">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埋地</w:t>
            </w:r>
            <w:r>
              <w:rPr>
                <w:rFonts w:hint="default" w:ascii="Times New Roman" w:hAnsi="Times New Roman" w:eastAsia="宋体" w:cs="Times New Roman"/>
                <w:color w:val="auto"/>
                <w:sz w:val="21"/>
                <w:szCs w:val="21"/>
                <w:highlight w:val="none"/>
              </w:rPr>
              <w:t>化粪池1个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容积为</w:t>
            </w:r>
            <w:r>
              <w:rPr>
                <w:rFonts w:hint="default" w:ascii="Times New Roman" w:hAnsi="Times New Roman" w:eastAsia="宋体" w:cs="Times New Roman"/>
                <w:color w:val="auto"/>
                <w:sz w:val="21"/>
                <w:szCs w:val="21"/>
                <w:highlight w:val="none"/>
              </w:rPr>
              <w:t>2m³</w:t>
            </w:r>
          </w:p>
        </w:tc>
        <w:tc>
          <w:tcPr>
            <w:tcW w:w="683" w:type="pct"/>
            <w:vMerge w:val="continue"/>
            <w:vAlign w:val="center"/>
          </w:tcPr>
          <w:p w14:paraId="60C48B2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75F0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297" w:type="pct"/>
            <w:vMerge w:val="continue"/>
            <w:vAlign w:val="center"/>
          </w:tcPr>
          <w:p w14:paraId="6BD5F7F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continue"/>
            <w:vAlign w:val="center"/>
          </w:tcPr>
          <w:p w14:paraId="7D40239C">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7" w:type="pct"/>
            <w:vAlign w:val="center"/>
          </w:tcPr>
          <w:p w14:paraId="02EB74EB">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一体化污水处理站</w:t>
            </w:r>
          </w:p>
        </w:tc>
        <w:tc>
          <w:tcPr>
            <w:tcW w:w="3234" w:type="pct"/>
            <w:vAlign w:val="center"/>
          </w:tcPr>
          <w:p w14:paraId="72F0E299">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地埋式一体化污水处理站</w:t>
            </w:r>
            <w:r>
              <w:rPr>
                <w:rFonts w:hint="default" w:ascii="Times New Roman" w:hAnsi="Times New Roman" w:eastAsia="宋体" w:cs="Times New Roman"/>
                <w:color w:val="auto"/>
                <w:sz w:val="21"/>
                <w:szCs w:val="21"/>
                <w:highlight w:val="none"/>
                <w:lang w:val="en-US" w:eastAsia="zh-CN"/>
              </w:rPr>
              <w:t>1套，处理规模2m³/d</w:t>
            </w:r>
          </w:p>
        </w:tc>
        <w:tc>
          <w:tcPr>
            <w:tcW w:w="683" w:type="pct"/>
            <w:vMerge w:val="continue"/>
            <w:vAlign w:val="center"/>
          </w:tcPr>
          <w:p w14:paraId="79DC742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7E09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090FD98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continue"/>
            <w:vAlign w:val="center"/>
          </w:tcPr>
          <w:p w14:paraId="5AC36C70">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57" w:type="pct"/>
            <w:vAlign w:val="center"/>
          </w:tcPr>
          <w:p w14:paraId="6323789D">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清水暂存池</w:t>
            </w:r>
          </w:p>
        </w:tc>
        <w:tc>
          <w:tcPr>
            <w:tcW w:w="3234" w:type="pct"/>
            <w:vAlign w:val="center"/>
          </w:tcPr>
          <w:p w14:paraId="72E4BDC7">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清水暂存池</w:t>
            </w:r>
            <w:r>
              <w:rPr>
                <w:rFonts w:hint="default" w:ascii="Times New Roman" w:hAnsi="Times New Roman" w:eastAsia="宋体" w:cs="Times New Roman"/>
                <w:color w:val="auto"/>
                <w:sz w:val="21"/>
                <w:szCs w:val="21"/>
                <w:highlight w:val="none"/>
                <w:lang w:val="en-US" w:eastAsia="zh-CN"/>
              </w:rPr>
              <w:t>1个，容积为25.74</w:t>
            </w:r>
            <w:r>
              <w:rPr>
                <w:rFonts w:hint="default" w:ascii="Times New Roman" w:hAnsi="Times New Roman" w:eastAsia="宋体" w:cs="Times New Roman"/>
                <w:color w:val="auto"/>
                <w:sz w:val="21"/>
                <w:szCs w:val="21"/>
                <w:highlight w:val="none"/>
              </w:rPr>
              <w:t>m³</w:t>
            </w:r>
          </w:p>
        </w:tc>
        <w:tc>
          <w:tcPr>
            <w:tcW w:w="683" w:type="pct"/>
            <w:vMerge w:val="continue"/>
            <w:vAlign w:val="center"/>
          </w:tcPr>
          <w:p w14:paraId="5275AEEB">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6CCC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27" w:hRule="atLeast"/>
          <w:jc w:val="center"/>
        </w:trPr>
        <w:tc>
          <w:tcPr>
            <w:tcW w:w="297" w:type="pct"/>
            <w:vMerge w:val="continue"/>
            <w:vAlign w:val="center"/>
          </w:tcPr>
          <w:p w14:paraId="66ACC5C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restart"/>
            <w:vAlign w:val="center"/>
          </w:tcPr>
          <w:p w14:paraId="7C08E91D">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固废</w:t>
            </w:r>
          </w:p>
        </w:tc>
        <w:tc>
          <w:tcPr>
            <w:tcW w:w="557" w:type="pct"/>
            <w:vAlign w:val="center"/>
          </w:tcPr>
          <w:p w14:paraId="089D723C">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贮油设施</w:t>
            </w:r>
          </w:p>
        </w:tc>
        <w:tc>
          <w:tcPr>
            <w:tcW w:w="3234" w:type="pct"/>
            <w:vAlign w:val="center"/>
          </w:tcPr>
          <w:p w14:paraId="5B13D86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升压站已建主</w:t>
            </w:r>
            <w:r>
              <w:rPr>
                <w:rFonts w:hint="default" w:ascii="Times New Roman" w:hAnsi="Times New Roman" w:eastAsia="宋体" w:cs="Times New Roman"/>
                <w:color w:val="auto"/>
                <w:sz w:val="21"/>
                <w:szCs w:val="21"/>
                <w:highlight w:val="none"/>
              </w:rPr>
              <w:t>变</w:t>
            </w:r>
            <w:r>
              <w:rPr>
                <w:rFonts w:hint="default" w:ascii="Times New Roman" w:hAnsi="Times New Roman" w:eastAsia="宋体" w:cs="Times New Roman"/>
                <w:color w:val="auto"/>
                <w:spacing w:val="0"/>
                <w:sz w:val="21"/>
                <w:szCs w:val="21"/>
                <w:highlight w:val="none"/>
              </w:rPr>
              <w:t>下方设置</w:t>
            </w:r>
            <w:r>
              <w:rPr>
                <w:rFonts w:hint="default" w:ascii="Times New Roman" w:hAnsi="Times New Roman" w:eastAsia="宋体" w:cs="Times New Roman"/>
                <w:color w:val="auto"/>
                <w:spacing w:val="0"/>
                <w:sz w:val="21"/>
                <w:szCs w:val="21"/>
                <w:highlight w:val="none"/>
                <w:lang w:val="en-US" w:eastAsia="zh-CN"/>
              </w:rPr>
              <w:t>有</w:t>
            </w:r>
            <w:r>
              <w:rPr>
                <w:rFonts w:hint="default" w:ascii="Times New Roman" w:hAnsi="Times New Roman" w:eastAsia="宋体" w:cs="Times New Roman"/>
                <w:color w:val="auto"/>
                <w:spacing w:val="0"/>
                <w:sz w:val="21"/>
                <w:szCs w:val="21"/>
                <w:highlight w:val="none"/>
              </w:rPr>
              <w:t>集油坑，</w:t>
            </w:r>
            <w:r>
              <w:rPr>
                <w:rFonts w:hint="default" w:ascii="Times New Roman" w:hAnsi="Times New Roman" w:eastAsia="宋体" w:cs="Times New Roman"/>
                <w:color w:val="auto"/>
                <w:spacing w:val="0"/>
                <w:sz w:val="21"/>
                <w:szCs w:val="21"/>
                <w:highlight w:val="none"/>
                <w:lang w:val="en-US" w:eastAsia="zh-CN"/>
              </w:rPr>
              <w:t>已建</w:t>
            </w:r>
            <w:r>
              <w:rPr>
                <w:rFonts w:hint="default" w:ascii="Times New Roman" w:hAnsi="Times New Roman" w:eastAsia="宋体" w:cs="Times New Roman"/>
                <w:color w:val="auto"/>
                <w:sz w:val="21"/>
                <w:szCs w:val="21"/>
                <w:highlight w:val="none"/>
              </w:rPr>
              <w:t>集油坑有效容积为</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已设置1个容积为52.8m³的事故油池，集油坑及事故油池之间采用排油管道相连，集油坑及事故油池进行防渗处理。</w:t>
            </w:r>
            <w:r>
              <w:rPr>
                <w:rFonts w:hint="default" w:ascii="Times New Roman" w:hAnsi="Times New Roman" w:eastAsia="宋体" w:cs="Times New Roman"/>
                <w:color w:val="auto"/>
                <w:spacing w:val="0"/>
                <w:sz w:val="21"/>
                <w:szCs w:val="21"/>
                <w:highlight w:val="none"/>
              </w:rPr>
              <w:t>若</w:t>
            </w:r>
            <w:r>
              <w:rPr>
                <w:rFonts w:hint="default" w:ascii="Times New Roman" w:hAnsi="Times New Roman" w:eastAsia="宋体" w:cs="Times New Roman"/>
                <w:color w:val="auto"/>
                <w:sz w:val="21"/>
                <w:szCs w:val="21"/>
                <w:highlight w:val="none"/>
                <w:lang w:eastAsia="zh-CN"/>
              </w:rPr>
              <w:t>主变压器</w:t>
            </w:r>
            <w:r>
              <w:rPr>
                <w:rFonts w:hint="default" w:ascii="Times New Roman" w:hAnsi="Times New Roman" w:eastAsia="宋体" w:cs="Times New Roman"/>
                <w:color w:val="auto"/>
                <w:spacing w:val="0"/>
                <w:sz w:val="21"/>
                <w:szCs w:val="21"/>
                <w:highlight w:val="none"/>
              </w:rPr>
              <w:t>发生事故，事故油进入变压器下方集油坑，经排油管道进入事故油池</w:t>
            </w:r>
            <w:r>
              <w:rPr>
                <w:rFonts w:hint="default" w:ascii="Times New Roman" w:hAnsi="Times New Roman" w:eastAsia="宋体" w:cs="Times New Roman"/>
                <w:color w:val="auto"/>
                <w:spacing w:val="0"/>
                <w:sz w:val="21"/>
                <w:szCs w:val="21"/>
                <w:highlight w:val="none"/>
                <w:lang w:val="en-US" w:eastAsia="zh-CN"/>
              </w:rPr>
              <w:t>收集</w:t>
            </w:r>
            <w:r>
              <w:rPr>
                <w:rFonts w:hint="default" w:ascii="Times New Roman" w:hAnsi="Times New Roman" w:eastAsia="宋体" w:cs="Times New Roman"/>
                <w:color w:val="auto"/>
                <w:spacing w:val="0"/>
                <w:sz w:val="21"/>
                <w:szCs w:val="21"/>
                <w:highlight w:val="none"/>
              </w:rPr>
              <w:t>后</w:t>
            </w:r>
            <w:r>
              <w:rPr>
                <w:rFonts w:hint="default" w:ascii="Times New Roman" w:hAnsi="Times New Roman" w:eastAsia="宋体" w:cs="Times New Roman"/>
                <w:color w:val="auto"/>
                <w:spacing w:val="0"/>
                <w:sz w:val="21"/>
                <w:szCs w:val="21"/>
                <w:highlight w:val="none"/>
                <w:lang w:val="en-US" w:eastAsia="zh-CN"/>
              </w:rPr>
              <w:t>可</w:t>
            </w:r>
            <w:r>
              <w:rPr>
                <w:rFonts w:hint="default" w:ascii="Times New Roman" w:hAnsi="Times New Roman" w:eastAsia="宋体" w:cs="Times New Roman"/>
                <w:color w:val="auto"/>
                <w:spacing w:val="0"/>
                <w:sz w:val="21"/>
                <w:szCs w:val="21"/>
                <w:highlight w:val="none"/>
              </w:rPr>
              <w:t>回用</w:t>
            </w:r>
            <w:r>
              <w:rPr>
                <w:rFonts w:hint="default" w:ascii="Times New Roman" w:hAnsi="Times New Roman" w:eastAsia="宋体" w:cs="Times New Roman"/>
                <w:color w:val="auto"/>
                <w:spacing w:val="0"/>
                <w:sz w:val="21"/>
                <w:szCs w:val="21"/>
                <w:highlight w:val="none"/>
                <w:lang w:val="en-US" w:eastAsia="zh-CN"/>
              </w:rPr>
              <w:t>部分充分</w:t>
            </w:r>
            <w:r>
              <w:rPr>
                <w:rFonts w:hint="default" w:ascii="Times New Roman" w:hAnsi="Times New Roman" w:eastAsia="宋体" w:cs="Times New Roman"/>
                <w:color w:val="auto"/>
                <w:spacing w:val="0"/>
                <w:sz w:val="21"/>
                <w:szCs w:val="21"/>
                <w:highlight w:val="none"/>
              </w:rPr>
              <w:t>回用，不能回用的委托</w:t>
            </w:r>
            <w:r>
              <w:rPr>
                <w:rFonts w:hint="default" w:ascii="Times New Roman" w:hAnsi="Times New Roman" w:eastAsia="宋体" w:cs="Times New Roman"/>
                <w:color w:val="auto"/>
                <w:spacing w:val="0"/>
                <w:sz w:val="21"/>
                <w:szCs w:val="21"/>
                <w:highlight w:val="none"/>
                <w:lang w:eastAsia="zh-CN"/>
              </w:rPr>
              <w:t>有资质单位处置</w:t>
            </w:r>
            <w:r>
              <w:rPr>
                <w:rFonts w:hint="default" w:ascii="Times New Roman" w:hAnsi="Times New Roman" w:eastAsia="宋体" w:cs="Times New Roman"/>
                <w:color w:val="auto"/>
                <w:spacing w:val="0"/>
                <w:sz w:val="21"/>
                <w:szCs w:val="21"/>
                <w:highlight w:val="none"/>
              </w:rPr>
              <w:t>。</w:t>
            </w:r>
          </w:p>
        </w:tc>
        <w:tc>
          <w:tcPr>
            <w:tcW w:w="683" w:type="pct"/>
            <w:vMerge w:val="continue"/>
            <w:vAlign w:val="center"/>
          </w:tcPr>
          <w:p w14:paraId="18A472D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604C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297" w:type="pct"/>
            <w:vMerge w:val="continue"/>
            <w:vAlign w:val="center"/>
          </w:tcPr>
          <w:p w14:paraId="79D9DB3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continue"/>
            <w:vAlign w:val="center"/>
          </w:tcPr>
          <w:p w14:paraId="785164E2">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7" w:type="pct"/>
            <w:vAlign w:val="center"/>
          </w:tcPr>
          <w:p w14:paraId="3E8F77E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危废暂存间</w:t>
            </w:r>
          </w:p>
        </w:tc>
        <w:tc>
          <w:tcPr>
            <w:tcW w:w="3234" w:type="pct"/>
            <w:vAlign w:val="center"/>
          </w:tcPr>
          <w:p w14:paraId="23202B5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危废暂存间1间，占地面积39.32m</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snapToGrid w:val="0"/>
                <w:color w:val="auto"/>
                <w:kern w:val="0"/>
                <w:sz w:val="21"/>
                <w:szCs w:val="21"/>
                <w:highlight w:val="none"/>
                <w:lang w:val="en-US" w:eastAsia="zh-CN"/>
              </w:rPr>
              <w:t>危废暂存间</w:t>
            </w:r>
            <w:r>
              <w:rPr>
                <w:rFonts w:hint="default" w:ascii="Times New Roman" w:hAnsi="Times New Roman" w:eastAsia="宋体" w:cs="Times New Roman"/>
                <w:color w:val="auto"/>
                <w:sz w:val="21"/>
                <w:szCs w:val="21"/>
                <w:highlight w:val="none"/>
                <w:lang w:val="en-US" w:eastAsia="zh-CN"/>
              </w:rPr>
              <w:t>已进行防渗处理，设置有标志、标识牌</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683" w:type="pct"/>
            <w:vMerge w:val="continue"/>
            <w:vAlign w:val="center"/>
          </w:tcPr>
          <w:p w14:paraId="0D57689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5C10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3E0B060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Merge w:val="continue"/>
            <w:vAlign w:val="center"/>
          </w:tcPr>
          <w:p w14:paraId="55FA5E13">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57" w:type="pct"/>
            <w:vAlign w:val="center"/>
          </w:tcPr>
          <w:p w14:paraId="058C747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垃圾桶</w:t>
            </w:r>
          </w:p>
        </w:tc>
        <w:tc>
          <w:tcPr>
            <w:tcW w:w="3234" w:type="pct"/>
            <w:vAlign w:val="center"/>
          </w:tcPr>
          <w:p w14:paraId="191A0AF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升压站设置有生活垃圾收集桶及垃圾收集箱</w:t>
            </w:r>
          </w:p>
        </w:tc>
        <w:tc>
          <w:tcPr>
            <w:tcW w:w="683" w:type="pct"/>
            <w:vMerge w:val="continue"/>
            <w:vAlign w:val="center"/>
          </w:tcPr>
          <w:p w14:paraId="7841037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3099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297" w:type="pct"/>
            <w:vMerge w:val="continue"/>
            <w:vAlign w:val="center"/>
          </w:tcPr>
          <w:p w14:paraId="721A4EC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226" w:type="pct"/>
            <w:vAlign w:val="center"/>
          </w:tcPr>
          <w:p w14:paraId="6998928B">
            <w:pPr>
              <w:keepNext w:val="0"/>
              <w:keepLines w:val="0"/>
              <w:pageBreakBefore w:val="0"/>
              <w:widowControl w:val="0"/>
              <w:kinsoku/>
              <w:wordWrap/>
              <w:overflowPunct/>
              <w:topLinePunct w:val="0"/>
              <w:autoSpaceDE/>
              <w:autoSpaceDN/>
              <w:bidi w:val="0"/>
              <w:adjustRightInd/>
              <w:snapToGrid/>
              <w:spacing w:line="288"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w:t>
            </w:r>
          </w:p>
        </w:tc>
        <w:tc>
          <w:tcPr>
            <w:tcW w:w="557" w:type="pct"/>
            <w:vAlign w:val="center"/>
          </w:tcPr>
          <w:p w14:paraId="024CFC9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食堂油烟机</w:t>
            </w:r>
          </w:p>
        </w:tc>
        <w:tc>
          <w:tcPr>
            <w:tcW w:w="3234" w:type="pct"/>
            <w:vAlign w:val="center"/>
          </w:tcPr>
          <w:p w14:paraId="5145192F">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升压站厨房设置有油烟机1台及专用烟道</w:t>
            </w:r>
          </w:p>
        </w:tc>
        <w:tc>
          <w:tcPr>
            <w:tcW w:w="683" w:type="pct"/>
            <w:vMerge w:val="continue"/>
            <w:vAlign w:val="center"/>
          </w:tcPr>
          <w:p w14:paraId="4745AE18">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705F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20772D5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3EFB0CD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噪声</w:t>
            </w:r>
          </w:p>
        </w:tc>
        <w:tc>
          <w:tcPr>
            <w:tcW w:w="3234" w:type="pct"/>
            <w:vAlign w:val="center"/>
          </w:tcPr>
          <w:p w14:paraId="70246DB9">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color w:val="auto"/>
                <w:sz w:val="21"/>
                <w:szCs w:val="21"/>
                <w:highlight w:val="none"/>
              </w:rPr>
              <w:t>低噪声设备、基础减振</w:t>
            </w:r>
          </w:p>
        </w:tc>
        <w:tc>
          <w:tcPr>
            <w:tcW w:w="683" w:type="pct"/>
            <w:vMerge w:val="continue"/>
            <w:vAlign w:val="center"/>
          </w:tcPr>
          <w:p w14:paraId="5023E9E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1E11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297" w:type="pct"/>
            <w:vMerge w:val="continue"/>
            <w:vAlign w:val="center"/>
          </w:tcPr>
          <w:p w14:paraId="2C0D528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0"/>
                <w:sz w:val="21"/>
                <w:szCs w:val="21"/>
                <w:highlight w:val="none"/>
              </w:rPr>
            </w:pPr>
          </w:p>
        </w:tc>
        <w:tc>
          <w:tcPr>
            <w:tcW w:w="784" w:type="pct"/>
            <w:gridSpan w:val="2"/>
            <w:vAlign w:val="center"/>
          </w:tcPr>
          <w:p w14:paraId="184645C3">
            <w:pPr>
              <w:pStyle w:val="260"/>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电磁环境</w:t>
            </w:r>
          </w:p>
        </w:tc>
        <w:tc>
          <w:tcPr>
            <w:tcW w:w="3234" w:type="pct"/>
            <w:vAlign w:val="center"/>
          </w:tcPr>
          <w:p w14:paraId="05F5455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bCs/>
                <w:color w:val="auto"/>
                <w:sz w:val="21"/>
                <w:szCs w:val="21"/>
                <w:highlight w:val="none"/>
              </w:rPr>
              <w:t>站址周围粘贴、悬挂各种警告、防护标识。</w:t>
            </w:r>
          </w:p>
        </w:tc>
        <w:tc>
          <w:tcPr>
            <w:tcW w:w="683" w:type="pct"/>
            <w:vMerge w:val="continue"/>
            <w:vAlign w:val="center"/>
          </w:tcPr>
          <w:p w14:paraId="5DAAB88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p>
        </w:tc>
      </w:tr>
      <w:tr w14:paraId="2327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58" w:hRule="atLeast"/>
          <w:jc w:val="center"/>
        </w:trPr>
        <w:tc>
          <w:tcPr>
            <w:tcW w:w="297" w:type="pct"/>
            <w:vMerge w:val="continue"/>
            <w:vAlign w:val="center"/>
          </w:tcPr>
          <w:p w14:paraId="5282DFF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84" w:type="pct"/>
            <w:gridSpan w:val="2"/>
            <w:vAlign w:val="center"/>
          </w:tcPr>
          <w:p w14:paraId="4556A415">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消防灭火系统</w:t>
            </w:r>
          </w:p>
        </w:tc>
        <w:tc>
          <w:tcPr>
            <w:tcW w:w="3234" w:type="pct"/>
            <w:vAlign w:val="center"/>
          </w:tcPr>
          <w:p w14:paraId="476280C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highlight w:val="none"/>
                <w:lang w:val="en-US" w:eastAsia="zh-CN"/>
              </w:rPr>
              <w:t>变电站</w:t>
            </w:r>
            <w:r>
              <w:rPr>
                <w:rFonts w:hint="default" w:ascii="Times New Roman" w:hAnsi="Times New Roman" w:eastAsia="宋体" w:cs="Times New Roman"/>
                <w:color w:val="auto"/>
                <w:spacing w:val="0"/>
                <w:sz w:val="21"/>
                <w:szCs w:val="21"/>
                <w:highlight w:val="none"/>
              </w:rPr>
              <w:t>消防灭火系统设计主要包括：站区设置一套独立的消防水系统，升压站区及预留储能区设置室外消火栓系统，综合楼设置内消火栓系统，同时各建筑物及主变压器、SVG装置附近等按规范配置手提式灭火器、推车灭火器、砂箱及消防铲等消防设施</w:t>
            </w:r>
            <w:r>
              <w:rPr>
                <w:rFonts w:hint="default" w:ascii="Times New Roman" w:hAnsi="Times New Roman" w:eastAsia="宋体" w:cs="Times New Roman"/>
                <w:color w:val="auto"/>
                <w:spacing w:val="0"/>
                <w:sz w:val="21"/>
                <w:szCs w:val="21"/>
                <w:highlight w:val="none"/>
                <w:lang w:eastAsia="zh-CN"/>
              </w:rPr>
              <w:t>。</w:t>
            </w:r>
          </w:p>
        </w:tc>
        <w:tc>
          <w:tcPr>
            <w:tcW w:w="683" w:type="pct"/>
            <w:vMerge w:val="continue"/>
            <w:vAlign w:val="center"/>
          </w:tcPr>
          <w:p w14:paraId="71B7505F">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6E5D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297" w:type="pct"/>
            <w:vMerge w:val="continue"/>
            <w:vAlign w:val="center"/>
          </w:tcPr>
          <w:p w14:paraId="57F8B53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84" w:type="pct"/>
            <w:gridSpan w:val="2"/>
            <w:vAlign w:val="center"/>
          </w:tcPr>
          <w:p w14:paraId="77C7E72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绿化</w:t>
            </w:r>
          </w:p>
        </w:tc>
        <w:tc>
          <w:tcPr>
            <w:tcW w:w="3234" w:type="pct"/>
            <w:vAlign w:val="center"/>
          </w:tcPr>
          <w:p w14:paraId="36B9BCF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升压站设置有绿化带，绿化面积2969</w:t>
            </w:r>
            <w:r>
              <w:rPr>
                <w:rFonts w:hint="default" w:ascii="Times New Roman" w:hAnsi="Times New Roman" w:eastAsia="宋体" w:cs="Times New Roman"/>
                <w:bCs/>
                <w:color w:val="auto"/>
                <w:kern w:val="0"/>
                <w:sz w:val="24"/>
                <w:highlight w:val="none"/>
                <w:lang w:val="en-US" w:eastAsia="zh-CN" w:bidi="ar"/>
              </w:rPr>
              <w:t>m</w:t>
            </w:r>
            <w:r>
              <w:rPr>
                <w:rFonts w:hint="default" w:ascii="Times New Roman" w:hAnsi="Times New Roman" w:eastAsia="宋体" w:cs="Times New Roman"/>
                <w:bCs/>
                <w:color w:val="auto"/>
                <w:kern w:val="0"/>
                <w:sz w:val="24"/>
                <w:highlight w:val="none"/>
                <w:vertAlign w:val="superscript"/>
                <w:lang w:val="en-US" w:eastAsia="zh-CN" w:bidi="ar"/>
              </w:rPr>
              <w:t>2</w:t>
            </w:r>
          </w:p>
        </w:tc>
        <w:tc>
          <w:tcPr>
            <w:tcW w:w="683" w:type="pct"/>
            <w:vMerge w:val="continue"/>
            <w:vAlign w:val="center"/>
          </w:tcPr>
          <w:p w14:paraId="1E64C03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bl>
    <w:p w14:paraId="71793437">
      <w:pPr>
        <w:keepNext/>
        <w:keepLines/>
        <w:spacing w:line="360" w:lineRule="auto"/>
        <w:outlineLvl w:val="1"/>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项目主要技术指标</w:t>
      </w:r>
    </w:p>
    <w:p w14:paraId="159F65B9">
      <w:pPr>
        <w:spacing w:line="360" w:lineRule="auto"/>
        <w:ind w:firstLine="480" w:firstLineChars="200"/>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color w:val="auto"/>
          <w:sz w:val="24"/>
          <w:highlight w:val="none"/>
        </w:rPr>
        <w:t>工程主要技术指标见表</w:t>
      </w:r>
      <w:r>
        <w:rPr>
          <w:rFonts w:hint="default" w:ascii="Times New Roman" w:hAnsi="Times New Roman" w:eastAsia="宋体" w:cs="Times New Roman"/>
          <w:color w:val="auto"/>
          <w:sz w:val="24"/>
          <w:highlight w:val="none"/>
          <w:lang w:val="en-US" w:eastAsia="zh-CN"/>
        </w:rPr>
        <w:t>3-2</w:t>
      </w:r>
      <w:r>
        <w:rPr>
          <w:rFonts w:hint="default" w:ascii="Times New Roman" w:hAnsi="Times New Roman" w:eastAsia="宋体" w:cs="Times New Roman"/>
          <w:color w:val="auto"/>
          <w:sz w:val="24"/>
          <w:highlight w:val="none"/>
        </w:rPr>
        <w:t>。</w:t>
      </w:r>
    </w:p>
    <w:p w14:paraId="784B4F0D">
      <w:pPr>
        <w:autoSpaceDE w:val="0"/>
        <w:autoSpaceDN w:val="0"/>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表</w:t>
      </w:r>
      <w:r>
        <w:rPr>
          <w:rFonts w:hint="default" w:ascii="Times New Roman" w:hAnsi="Times New Roman" w:eastAsia="宋体" w:cs="Times New Roman"/>
          <w:b/>
          <w:color w:val="auto"/>
          <w:kern w:val="0"/>
          <w:sz w:val="24"/>
          <w:szCs w:val="21"/>
          <w:highlight w:val="none"/>
          <w:lang w:val="en-US" w:eastAsia="zh-CN"/>
        </w:rPr>
        <w:t>3-2</w:t>
      </w:r>
      <w:r>
        <w:rPr>
          <w:rFonts w:hint="default" w:ascii="Times New Roman" w:hAnsi="Times New Roman" w:eastAsia="宋体" w:cs="Times New Roman"/>
          <w:b/>
          <w:color w:val="auto"/>
          <w:kern w:val="0"/>
          <w:sz w:val="24"/>
          <w:szCs w:val="21"/>
          <w:highlight w:val="none"/>
        </w:rPr>
        <w:t xml:space="preserve">  本项目主要技术指标</w:t>
      </w:r>
    </w:p>
    <w:tbl>
      <w:tblPr>
        <w:tblStyle w:val="49"/>
        <w:tblpPr w:leftFromText="180" w:rightFromText="180" w:vertAnchor="text" w:horzAnchor="page" w:tblpXSpec="center" w:tblpY="33"/>
        <w:tblOverlap w:val="never"/>
        <w:tblW w:w="8778" w:type="dxa"/>
        <w:jc w:val="center"/>
        <w:tblLayout w:type="fixed"/>
        <w:tblCellMar>
          <w:top w:w="0" w:type="dxa"/>
          <w:left w:w="108" w:type="dxa"/>
          <w:bottom w:w="0" w:type="dxa"/>
          <w:right w:w="108" w:type="dxa"/>
        </w:tblCellMar>
      </w:tblPr>
      <w:tblGrid>
        <w:gridCol w:w="1016"/>
        <w:gridCol w:w="2565"/>
        <w:gridCol w:w="838"/>
        <w:gridCol w:w="2179"/>
        <w:gridCol w:w="2180"/>
      </w:tblGrid>
      <w:tr w14:paraId="122C5E9E">
        <w:tblPrEx>
          <w:tblCellMar>
            <w:top w:w="0" w:type="dxa"/>
            <w:left w:w="108" w:type="dxa"/>
            <w:bottom w:w="0" w:type="dxa"/>
            <w:right w:w="108" w:type="dxa"/>
          </w:tblCellMar>
        </w:tblPrEx>
        <w:trPr>
          <w:trHeight w:val="416" w:hRule="atLeast"/>
          <w:jc w:val="center"/>
        </w:trPr>
        <w:tc>
          <w:tcPr>
            <w:tcW w:w="578" w:type="pct"/>
            <w:tcBorders>
              <w:top w:val="single" w:color="auto" w:sz="8" w:space="0"/>
              <w:left w:val="single" w:color="auto" w:sz="8" w:space="0"/>
              <w:bottom w:val="single" w:color="auto" w:sz="8" w:space="0"/>
              <w:right w:val="single" w:color="auto" w:sz="8" w:space="0"/>
            </w:tcBorders>
            <w:shd w:val="clear" w:color="auto" w:fill="auto"/>
            <w:noWrap w:val="0"/>
            <w:vAlign w:val="center"/>
          </w:tcPr>
          <w:p w14:paraId="2E99FF6B">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461" w:type="pct"/>
            <w:tcBorders>
              <w:top w:val="single" w:color="auto" w:sz="8" w:space="0"/>
              <w:left w:val="nil"/>
              <w:bottom w:val="single" w:color="auto" w:sz="8" w:space="0"/>
              <w:right w:val="single" w:color="000000" w:sz="8" w:space="0"/>
            </w:tcBorders>
            <w:shd w:val="clear" w:color="auto" w:fill="auto"/>
            <w:noWrap w:val="0"/>
            <w:vAlign w:val="center"/>
          </w:tcPr>
          <w:p w14:paraId="282D4951">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477" w:type="pct"/>
            <w:tcBorders>
              <w:top w:val="single" w:color="auto" w:sz="8" w:space="0"/>
              <w:left w:val="nil"/>
              <w:bottom w:val="single" w:color="auto" w:sz="8" w:space="0"/>
              <w:right w:val="single" w:color="auto" w:sz="8" w:space="0"/>
            </w:tcBorders>
            <w:shd w:val="clear" w:color="auto" w:fill="auto"/>
            <w:noWrap w:val="0"/>
            <w:vAlign w:val="center"/>
          </w:tcPr>
          <w:p w14:paraId="37EF7DE6">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单位</w:t>
            </w:r>
          </w:p>
        </w:tc>
        <w:tc>
          <w:tcPr>
            <w:tcW w:w="1241" w:type="pct"/>
            <w:tcBorders>
              <w:top w:val="single" w:color="auto" w:sz="8" w:space="0"/>
              <w:left w:val="nil"/>
              <w:bottom w:val="single" w:color="auto" w:sz="8" w:space="0"/>
              <w:right w:val="single" w:color="auto" w:sz="8" w:space="0"/>
            </w:tcBorders>
            <w:shd w:val="clear" w:color="auto" w:fill="auto"/>
            <w:noWrap w:val="0"/>
            <w:vAlign w:val="center"/>
          </w:tcPr>
          <w:p w14:paraId="0568FED0">
            <w:pPr>
              <w:autoSpaceDE w:val="0"/>
              <w:autoSpaceDN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升压站</w:t>
            </w:r>
          </w:p>
        </w:tc>
        <w:tc>
          <w:tcPr>
            <w:tcW w:w="1241" w:type="pct"/>
            <w:tcBorders>
              <w:top w:val="single" w:color="auto" w:sz="8" w:space="0"/>
              <w:left w:val="nil"/>
              <w:bottom w:val="single" w:color="auto" w:sz="8" w:space="0"/>
              <w:right w:val="single" w:color="auto" w:sz="8" w:space="0"/>
            </w:tcBorders>
            <w:shd w:val="clear" w:color="auto" w:fill="auto"/>
            <w:noWrap w:val="0"/>
            <w:vAlign w:val="center"/>
          </w:tcPr>
          <w:p w14:paraId="495F68A2">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备注</w:t>
            </w:r>
          </w:p>
        </w:tc>
      </w:tr>
      <w:tr w14:paraId="7C103B2C">
        <w:tblPrEx>
          <w:tblCellMar>
            <w:top w:w="0" w:type="dxa"/>
            <w:left w:w="108" w:type="dxa"/>
            <w:bottom w:w="0" w:type="dxa"/>
            <w:right w:w="108" w:type="dxa"/>
          </w:tblCellMar>
        </w:tblPrEx>
        <w:trPr>
          <w:trHeight w:val="416" w:hRule="atLeast"/>
          <w:jc w:val="center"/>
        </w:trPr>
        <w:tc>
          <w:tcPr>
            <w:tcW w:w="578" w:type="pct"/>
            <w:tcBorders>
              <w:top w:val="nil"/>
              <w:left w:val="single" w:color="auto" w:sz="8" w:space="0"/>
              <w:bottom w:val="single" w:color="000000" w:sz="8" w:space="0"/>
              <w:right w:val="single" w:color="auto" w:sz="8" w:space="0"/>
            </w:tcBorders>
            <w:shd w:val="clear" w:color="auto" w:fill="auto"/>
            <w:noWrap w:val="0"/>
            <w:vAlign w:val="center"/>
          </w:tcPr>
          <w:p w14:paraId="298E4C15">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461" w:type="pct"/>
            <w:tcBorders>
              <w:top w:val="nil"/>
              <w:left w:val="single" w:color="auto" w:sz="8" w:space="0"/>
              <w:bottom w:val="single" w:color="000000" w:sz="8" w:space="0"/>
              <w:right w:val="single" w:color="000000" w:sz="8" w:space="0"/>
            </w:tcBorders>
            <w:shd w:val="clear" w:color="auto" w:fill="auto"/>
            <w:noWrap w:val="0"/>
            <w:vAlign w:val="center"/>
          </w:tcPr>
          <w:p w14:paraId="00AA8F61">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永久占地面积</w:t>
            </w:r>
          </w:p>
        </w:tc>
        <w:tc>
          <w:tcPr>
            <w:tcW w:w="477" w:type="pct"/>
            <w:tcBorders>
              <w:top w:val="nil"/>
              <w:left w:val="nil"/>
              <w:bottom w:val="single" w:color="auto" w:sz="8" w:space="0"/>
              <w:right w:val="single" w:color="auto" w:sz="8" w:space="0"/>
            </w:tcBorders>
            <w:shd w:val="clear" w:color="auto" w:fill="auto"/>
            <w:noWrap w:val="0"/>
            <w:vAlign w:val="center"/>
          </w:tcPr>
          <w:p w14:paraId="3CFB1197">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1" w:type="pct"/>
            <w:tcBorders>
              <w:top w:val="nil"/>
              <w:left w:val="nil"/>
              <w:bottom w:val="single" w:color="auto" w:sz="8" w:space="0"/>
              <w:right w:val="single" w:color="auto" w:sz="8" w:space="0"/>
            </w:tcBorders>
            <w:shd w:val="clear" w:color="auto" w:fill="auto"/>
            <w:noWrap w:val="0"/>
            <w:vAlign w:val="center"/>
          </w:tcPr>
          <w:p w14:paraId="2999B0E3">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9962.23</w:t>
            </w:r>
          </w:p>
        </w:tc>
        <w:tc>
          <w:tcPr>
            <w:tcW w:w="1241" w:type="pct"/>
            <w:tcBorders>
              <w:top w:val="nil"/>
              <w:left w:val="nil"/>
              <w:bottom w:val="single" w:color="auto" w:sz="8" w:space="0"/>
              <w:right w:val="single" w:color="auto" w:sz="8" w:space="0"/>
            </w:tcBorders>
            <w:shd w:val="clear" w:color="auto" w:fill="auto"/>
            <w:noWrap w:val="0"/>
            <w:vAlign w:val="center"/>
          </w:tcPr>
          <w:p w14:paraId="0641133D">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不含进站道路</w:t>
            </w:r>
          </w:p>
        </w:tc>
      </w:tr>
      <w:tr w14:paraId="199681C2">
        <w:tblPrEx>
          <w:tblCellMar>
            <w:top w:w="0" w:type="dxa"/>
            <w:left w:w="108" w:type="dxa"/>
            <w:bottom w:w="0" w:type="dxa"/>
            <w:right w:w="108" w:type="dxa"/>
          </w:tblCellMar>
        </w:tblPrEx>
        <w:trPr>
          <w:trHeight w:val="416" w:hRule="atLeast"/>
          <w:jc w:val="center"/>
        </w:trPr>
        <w:tc>
          <w:tcPr>
            <w:tcW w:w="578" w:type="pct"/>
            <w:tcBorders>
              <w:top w:val="nil"/>
              <w:left w:val="single" w:color="auto" w:sz="8" w:space="0"/>
              <w:bottom w:val="single" w:color="auto" w:sz="8" w:space="0"/>
              <w:right w:val="single" w:color="auto" w:sz="8" w:space="0"/>
            </w:tcBorders>
            <w:noWrap w:val="0"/>
            <w:vAlign w:val="center"/>
          </w:tcPr>
          <w:p w14:paraId="1533DE31">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461" w:type="pct"/>
            <w:tcBorders>
              <w:top w:val="single" w:color="auto" w:sz="8" w:space="0"/>
              <w:left w:val="nil"/>
              <w:bottom w:val="single" w:color="auto" w:sz="8" w:space="0"/>
              <w:right w:val="single" w:color="000000" w:sz="8" w:space="0"/>
            </w:tcBorders>
            <w:noWrap w:val="0"/>
            <w:vAlign w:val="center"/>
          </w:tcPr>
          <w:p w14:paraId="7C36EE20">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主变规模</w:t>
            </w:r>
          </w:p>
        </w:tc>
        <w:tc>
          <w:tcPr>
            <w:tcW w:w="477" w:type="pct"/>
            <w:tcBorders>
              <w:top w:val="nil"/>
              <w:left w:val="nil"/>
              <w:bottom w:val="single" w:color="auto" w:sz="8" w:space="0"/>
              <w:right w:val="single" w:color="auto" w:sz="8" w:space="0"/>
            </w:tcBorders>
            <w:noWrap w:val="0"/>
            <w:vAlign w:val="center"/>
          </w:tcPr>
          <w:p w14:paraId="4FBA3448">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MVA</w:t>
            </w:r>
          </w:p>
        </w:tc>
        <w:tc>
          <w:tcPr>
            <w:tcW w:w="1241" w:type="pct"/>
            <w:tcBorders>
              <w:top w:val="nil"/>
              <w:left w:val="nil"/>
              <w:bottom w:val="single" w:color="auto" w:sz="8" w:space="0"/>
              <w:right w:val="single" w:color="auto" w:sz="8" w:space="0"/>
            </w:tcBorders>
            <w:noWrap w:val="0"/>
            <w:vAlign w:val="center"/>
          </w:tcPr>
          <w:p w14:paraId="230CFB37">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00MVA</w:t>
            </w:r>
          </w:p>
        </w:tc>
        <w:tc>
          <w:tcPr>
            <w:tcW w:w="1241" w:type="pct"/>
            <w:tcBorders>
              <w:top w:val="nil"/>
              <w:left w:val="nil"/>
              <w:bottom w:val="single" w:color="auto" w:sz="8" w:space="0"/>
              <w:right w:val="single" w:color="auto" w:sz="8" w:space="0"/>
            </w:tcBorders>
            <w:noWrap w:val="0"/>
            <w:vAlign w:val="center"/>
          </w:tcPr>
          <w:p w14:paraId="7F7C1E49">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625F030A">
        <w:tblPrEx>
          <w:tblCellMar>
            <w:top w:w="0" w:type="dxa"/>
            <w:left w:w="108" w:type="dxa"/>
            <w:bottom w:w="0" w:type="dxa"/>
            <w:right w:w="108" w:type="dxa"/>
          </w:tblCellMar>
        </w:tblPrEx>
        <w:trPr>
          <w:trHeight w:val="416" w:hRule="atLeast"/>
          <w:jc w:val="center"/>
        </w:trPr>
        <w:tc>
          <w:tcPr>
            <w:tcW w:w="578" w:type="pct"/>
            <w:tcBorders>
              <w:top w:val="nil"/>
              <w:left w:val="single" w:color="auto" w:sz="8" w:space="0"/>
              <w:bottom w:val="single" w:color="auto" w:sz="8" w:space="0"/>
              <w:right w:val="single" w:color="auto" w:sz="8" w:space="0"/>
            </w:tcBorders>
            <w:noWrap w:val="0"/>
            <w:vAlign w:val="center"/>
          </w:tcPr>
          <w:p w14:paraId="690F8FF3">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461" w:type="pct"/>
            <w:tcBorders>
              <w:top w:val="single" w:color="auto" w:sz="8" w:space="0"/>
              <w:left w:val="nil"/>
              <w:bottom w:val="single" w:color="auto" w:sz="8" w:space="0"/>
              <w:right w:val="single" w:color="000000" w:sz="8" w:space="0"/>
            </w:tcBorders>
            <w:noWrap w:val="0"/>
            <w:vAlign w:val="center"/>
          </w:tcPr>
          <w:p w14:paraId="4FC2D1F2">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总建筑面积</w:t>
            </w:r>
          </w:p>
        </w:tc>
        <w:tc>
          <w:tcPr>
            <w:tcW w:w="477" w:type="pct"/>
            <w:tcBorders>
              <w:top w:val="nil"/>
              <w:left w:val="nil"/>
              <w:bottom w:val="single" w:color="auto" w:sz="8" w:space="0"/>
              <w:right w:val="single" w:color="auto" w:sz="8" w:space="0"/>
            </w:tcBorders>
            <w:noWrap w:val="0"/>
            <w:vAlign w:val="center"/>
          </w:tcPr>
          <w:p w14:paraId="0EA5C18D">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1" w:type="pct"/>
            <w:tcBorders>
              <w:top w:val="nil"/>
              <w:left w:val="nil"/>
              <w:bottom w:val="single" w:color="auto" w:sz="8" w:space="0"/>
              <w:right w:val="single" w:color="auto" w:sz="8" w:space="0"/>
            </w:tcBorders>
            <w:noWrap w:val="0"/>
            <w:vAlign w:val="center"/>
          </w:tcPr>
          <w:p w14:paraId="2FBC2081">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1183.04</w:t>
            </w:r>
          </w:p>
        </w:tc>
        <w:tc>
          <w:tcPr>
            <w:tcW w:w="1241" w:type="pct"/>
            <w:tcBorders>
              <w:top w:val="nil"/>
              <w:left w:val="nil"/>
              <w:bottom w:val="single" w:color="auto" w:sz="8" w:space="0"/>
              <w:right w:val="single" w:color="auto" w:sz="8" w:space="0"/>
            </w:tcBorders>
            <w:noWrap w:val="0"/>
            <w:vAlign w:val="center"/>
          </w:tcPr>
          <w:p w14:paraId="0FB3F8DE">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1BA20EE4">
        <w:tblPrEx>
          <w:tblCellMar>
            <w:top w:w="0" w:type="dxa"/>
            <w:left w:w="108" w:type="dxa"/>
            <w:bottom w:w="0" w:type="dxa"/>
            <w:right w:w="108" w:type="dxa"/>
          </w:tblCellMar>
        </w:tblPrEx>
        <w:trPr>
          <w:trHeight w:val="416" w:hRule="atLeast"/>
          <w:jc w:val="center"/>
        </w:trPr>
        <w:tc>
          <w:tcPr>
            <w:tcW w:w="578" w:type="pct"/>
            <w:tcBorders>
              <w:top w:val="nil"/>
              <w:left w:val="single" w:color="auto" w:sz="8" w:space="0"/>
              <w:bottom w:val="single" w:color="auto" w:sz="8" w:space="0"/>
              <w:right w:val="single" w:color="auto" w:sz="8" w:space="0"/>
            </w:tcBorders>
            <w:noWrap w:val="0"/>
            <w:vAlign w:val="center"/>
          </w:tcPr>
          <w:p w14:paraId="1BC53A7D">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w:t>
            </w:r>
          </w:p>
        </w:tc>
        <w:tc>
          <w:tcPr>
            <w:tcW w:w="1461" w:type="pct"/>
            <w:tcBorders>
              <w:top w:val="single" w:color="auto" w:sz="8" w:space="0"/>
              <w:left w:val="nil"/>
              <w:bottom w:val="single" w:color="auto" w:sz="8" w:space="0"/>
              <w:right w:val="single" w:color="000000" w:sz="8" w:space="0"/>
            </w:tcBorders>
            <w:noWrap w:val="0"/>
            <w:vAlign w:val="center"/>
          </w:tcPr>
          <w:p w14:paraId="4A4B485E">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综合楼</w:t>
            </w:r>
          </w:p>
        </w:tc>
        <w:tc>
          <w:tcPr>
            <w:tcW w:w="477" w:type="pct"/>
            <w:tcBorders>
              <w:top w:val="nil"/>
              <w:left w:val="nil"/>
              <w:bottom w:val="single" w:color="auto" w:sz="8" w:space="0"/>
              <w:right w:val="single" w:color="auto" w:sz="8" w:space="0"/>
            </w:tcBorders>
            <w:noWrap w:val="0"/>
            <w:vAlign w:val="center"/>
          </w:tcPr>
          <w:p w14:paraId="310792BE">
            <w:pPr>
              <w:tabs>
                <w:tab w:val="left" w:pos="248"/>
              </w:tabs>
              <w:autoSpaceDE w:val="0"/>
              <w:autoSpaceDN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1" w:type="pct"/>
            <w:tcBorders>
              <w:top w:val="nil"/>
              <w:left w:val="nil"/>
              <w:bottom w:val="single" w:color="auto" w:sz="8" w:space="0"/>
              <w:right w:val="single" w:color="auto" w:sz="8" w:space="0"/>
            </w:tcBorders>
            <w:noWrap w:val="0"/>
            <w:vAlign w:val="center"/>
          </w:tcPr>
          <w:p w14:paraId="3BB492C9">
            <w:pPr>
              <w:autoSpaceDE w:val="0"/>
              <w:autoSpaceDN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933.21</w:t>
            </w:r>
          </w:p>
        </w:tc>
        <w:tc>
          <w:tcPr>
            <w:tcW w:w="1241" w:type="pct"/>
            <w:tcBorders>
              <w:top w:val="nil"/>
              <w:left w:val="nil"/>
              <w:bottom w:val="single" w:color="auto" w:sz="8" w:space="0"/>
              <w:right w:val="single" w:color="auto" w:sz="8" w:space="0"/>
            </w:tcBorders>
            <w:noWrap w:val="0"/>
            <w:vAlign w:val="center"/>
          </w:tcPr>
          <w:p w14:paraId="64F376F0">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6F3D259A">
        <w:tblPrEx>
          <w:tblCellMar>
            <w:top w:w="0" w:type="dxa"/>
            <w:left w:w="108" w:type="dxa"/>
            <w:bottom w:w="0" w:type="dxa"/>
            <w:right w:w="108" w:type="dxa"/>
          </w:tblCellMar>
        </w:tblPrEx>
        <w:trPr>
          <w:trHeight w:val="416" w:hRule="atLeast"/>
          <w:jc w:val="center"/>
        </w:trPr>
        <w:tc>
          <w:tcPr>
            <w:tcW w:w="578" w:type="pct"/>
            <w:tcBorders>
              <w:top w:val="nil"/>
              <w:left w:val="single" w:color="auto" w:sz="8" w:space="0"/>
              <w:bottom w:val="single" w:color="auto" w:sz="8" w:space="0"/>
              <w:right w:val="single" w:color="auto" w:sz="8" w:space="0"/>
            </w:tcBorders>
            <w:noWrap w:val="0"/>
            <w:vAlign w:val="center"/>
          </w:tcPr>
          <w:p w14:paraId="613C0718">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w:t>
            </w:r>
          </w:p>
        </w:tc>
        <w:tc>
          <w:tcPr>
            <w:tcW w:w="1461" w:type="pct"/>
            <w:tcBorders>
              <w:top w:val="single" w:color="auto" w:sz="8" w:space="0"/>
              <w:left w:val="nil"/>
              <w:bottom w:val="single" w:color="auto" w:sz="8" w:space="0"/>
              <w:right w:val="single" w:color="000000" w:sz="8" w:space="0"/>
            </w:tcBorders>
            <w:noWrap w:val="0"/>
            <w:vAlign w:val="center"/>
          </w:tcPr>
          <w:p w14:paraId="0A83F30E">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附属用房</w:t>
            </w:r>
          </w:p>
        </w:tc>
        <w:tc>
          <w:tcPr>
            <w:tcW w:w="477" w:type="pct"/>
            <w:tcBorders>
              <w:top w:val="nil"/>
              <w:left w:val="nil"/>
              <w:bottom w:val="single" w:color="auto" w:sz="8" w:space="0"/>
              <w:right w:val="single" w:color="auto" w:sz="8" w:space="0"/>
            </w:tcBorders>
            <w:noWrap w:val="0"/>
            <w:vAlign w:val="center"/>
          </w:tcPr>
          <w:p w14:paraId="497547FD">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1" w:type="pct"/>
            <w:tcBorders>
              <w:top w:val="nil"/>
              <w:left w:val="nil"/>
              <w:bottom w:val="single" w:color="auto" w:sz="8" w:space="0"/>
              <w:right w:val="single" w:color="auto" w:sz="8" w:space="0"/>
            </w:tcBorders>
            <w:noWrap w:val="0"/>
            <w:vAlign w:val="center"/>
          </w:tcPr>
          <w:p w14:paraId="029E8E93">
            <w:pPr>
              <w:autoSpaceDE w:val="0"/>
              <w:autoSpaceDN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210.51</w:t>
            </w:r>
          </w:p>
        </w:tc>
        <w:tc>
          <w:tcPr>
            <w:tcW w:w="1241" w:type="pct"/>
            <w:tcBorders>
              <w:top w:val="nil"/>
              <w:left w:val="nil"/>
              <w:bottom w:val="single" w:color="auto" w:sz="8" w:space="0"/>
              <w:right w:val="single" w:color="auto" w:sz="8" w:space="0"/>
            </w:tcBorders>
            <w:noWrap w:val="0"/>
            <w:vAlign w:val="center"/>
          </w:tcPr>
          <w:p w14:paraId="5629BFB1">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4F048AB3">
        <w:tblPrEx>
          <w:tblCellMar>
            <w:top w:w="0" w:type="dxa"/>
            <w:left w:w="108" w:type="dxa"/>
            <w:bottom w:w="0" w:type="dxa"/>
            <w:right w:w="108" w:type="dxa"/>
          </w:tblCellMar>
        </w:tblPrEx>
        <w:trPr>
          <w:trHeight w:val="416" w:hRule="atLeast"/>
          <w:jc w:val="center"/>
        </w:trPr>
        <w:tc>
          <w:tcPr>
            <w:tcW w:w="578" w:type="pct"/>
            <w:tcBorders>
              <w:top w:val="nil"/>
              <w:left w:val="single" w:color="auto" w:sz="8" w:space="0"/>
              <w:bottom w:val="single" w:color="auto" w:sz="8" w:space="0"/>
              <w:right w:val="single" w:color="auto" w:sz="8" w:space="0"/>
            </w:tcBorders>
            <w:noWrap w:val="0"/>
            <w:vAlign w:val="center"/>
          </w:tcPr>
          <w:p w14:paraId="39782CED">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w:t>
            </w:r>
          </w:p>
        </w:tc>
        <w:tc>
          <w:tcPr>
            <w:tcW w:w="1461" w:type="pct"/>
            <w:tcBorders>
              <w:top w:val="single" w:color="auto" w:sz="8" w:space="0"/>
              <w:left w:val="nil"/>
              <w:bottom w:val="single" w:color="auto" w:sz="8" w:space="0"/>
              <w:right w:val="single" w:color="000000" w:sz="8" w:space="0"/>
            </w:tcBorders>
            <w:noWrap w:val="0"/>
            <w:vAlign w:val="center"/>
          </w:tcPr>
          <w:p w14:paraId="2DEE9133">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危废暂存间</w:t>
            </w:r>
          </w:p>
        </w:tc>
        <w:tc>
          <w:tcPr>
            <w:tcW w:w="477" w:type="pct"/>
            <w:tcBorders>
              <w:top w:val="nil"/>
              <w:left w:val="nil"/>
              <w:bottom w:val="single" w:color="auto" w:sz="8" w:space="0"/>
              <w:right w:val="single" w:color="auto" w:sz="8" w:space="0"/>
            </w:tcBorders>
            <w:noWrap w:val="0"/>
            <w:vAlign w:val="center"/>
          </w:tcPr>
          <w:p w14:paraId="21405FDC">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241" w:type="pct"/>
            <w:tcBorders>
              <w:top w:val="nil"/>
              <w:left w:val="nil"/>
              <w:bottom w:val="single" w:color="auto" w:sz="8" w:space="0"/>
              <w:right w:val="single" w:color="auto" w:sz="8" w:space="0"/>
            </w:tcBorders>
            <w:noWrap w:val="0"/>
            <w:vAlign w:val="center"/>
          </w:tcPr>
          <w:p w14:paraId="2BE9250F">
            <w:pPr>
              <w:autoSpaceDE w:val="0"/>
              <w:autoSpaceDN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39.32</w:t>
            </w:r>
          </w:p>
        </w:tc>
        <w:tc>
          <w:tcPr>
            <w:tcW w:w="1241" w:type="pct"/>
            <w:tcBorders>
              <w:top w:val="nil"/>
              <w:left w:val="nil"/>
              <w:bottom w:val="single" w:color="auto" w:sz="8" w:space="0"/>
              <w:right w:val="single" w:color="auto" w:sz="8" w:space="0"/>
            </w:tcBorders>
            <w:noWrap w:val="0"/>
            <w:vAlign w:val="center"/>
          </w:tcPr>
          <w:p w14:paraId="6C979293">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r w14:paraId="4BD9D23C">
        <w:tblPrEx>
          <w:tblCellMar>
            <w:top w:w="0" w:type="dxa"/>
            <w:left w:w="108" w:type="dxa"/>
            <w:bottom w:w="0" w:type="dxa"/>
            <w:right w:w="108" w:type="dxa"/>
          </w:tblCellMar>
        </w:tblPrEx>
        <w:trPr>
          <w:trHeight w:val="461" w:hRule="atLeast"/>
          <w:jc w:val="center"/>
        </w:trPr>
        <w:tc>
          <w:tcPr>
            <w:tcW w:w="578" w:type="pct"/>
            <w:tcBorders>
              <w:top w:val="nil"/>
              <w:left w:val="single" w:color="auto" w:sz="8" w:space="0"/>
              <w:bottom w:val="single" w:color="auto" w:sz="8" w:space="0"/>
              <w:right w:val="single" w:color="auto" w:sz="8" w:space="0"/>
            </w:tcBorders>
            <w:noWrap w:val="0"/>
            <w:vAlign w:val="center"/>
          </w:tcPr>
          <w:p w14:paraId="7E723031">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461" w:type="pct"/>
            <w:tcBorders>
              <w:top w:val="single" w:color="auto" w:sz="8" w:space="0"/>
              <w:left w:val="nil"/>
              <w:bottom w:val="single" w:color="auto" w:sz="8" w:space="0"/>
              <w:right w:val="single" w:color="000000" w:sz="8" w:space="0"/>
            </w:tcBorders>
            <w:noWrap w:val="0"/>
            <w:vAlign w:val="center"/>
          </w:tcPr>
          <w:p w14:paraId="2B4C5320">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总</w:t>
            </w:r>
            <w:r>
              <w:rPr>
                <w:rFonts w:hint="default" w:ascii="Times New Roman" w:hAnsi="Times New Roman" w:eastAsia="宋体" w:cs="Times New Roman"/>
                <w:color w:val="auto"/>
                <w:kern w:val="0"/>
                <w:sz w:val="21"/>
                <w:szCs w:val="21"/>
                <w:highlight w:val="none"/>
              </w:rPr>
              <w:t>投资</w:t>
            </w:r>
          </w:p>
        </w:tc>
        <w:tc>
          <w:tcPr>
            <w:tcW w:w="477" w:type="pct"/>
            <w:tcBorders>
              <w:top w:val="nil"/>
              <w:left w:val="nil"/>
              <w:bottom w:val="single" w:color="auto" w:sz="8" w:space="0"/>
              <w:right w:val="single" w:color="auto" w:sz="8" w:space="0"/>
            </w:tcBorders>
            <w:noWrap w:val="0"/>
            <w:vAlign w:val="center"/>
          </w:tcPr>
          <w:p w14:paraId="4919312A">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万元</w:t>
            </w:r>
          </w:p>
        </w:tc>
        <w:tc>
          <w:tcPr>
            <w:tcW w:w="1241" w:type="pct"/>
            <w:tcBorders>
              <w:top w:val="nil"/>
              <w:left w:val="nil"/>
              <w:bottom w:val="single" w:color="auto" w:sz="8" w:space="0"/>
              <w:right w:val="single" w:color="auto" w:sz="8" w:space="0"/>
            </w:tcBorders>
            <w:noWrap w:val="0"/>
            <w:vAlign w:val="center"/>
          </w:tcPr>
          <w:p w14:paraId="58EA63C3">
            <w:pPr>
              <w:autoSpaceDE w:val="0"/>
              <w:autoSpaceDN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1379</w:t>
            </w:r>
          </w:p>
        </w:tc>
        <w:tc>
          <w:tcPr>
            <w:tcW w:w="1241" w:type="pct"/>
            <w:tcBorders>
              <w:top w:val="nil"/>
              <w:left w:val="nil"/>
              <w:bottom w:val="single" w:color="auto" w:sz="8" w:space="0"/>
              <w:right w:val="single" w:color="auto" w:sz="8" w:space="0"/>
            </w:tcBorders>
            <w:noWrap w:val="0"/>
            <w:vAlign w:val="center"/>
          </w:tcPr>
          <w:p w14:paraId="2DD28D9A">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r>
    </w:tbl>
    <w:p w14:paraId="3EF1A089">
      <w:pPr>
        <w:pStyle w:val="23"/>
        <w:keepNext w:val="0"/>
        <w:keepLines w:val="0"/>
        <w:pageBreakBefore w:val="0"/>
        <w:widowControl/>
        <w:kinsoku/>
        <w:wordWrap/>
        <w:overflowPunct/>
        <w:topLinePunct w:val="0"/>
        <w:autoSpaceDE/>
        <w:autoSpaceDN/>
        <w:bidi w:val="0"/>
        <w:adjustRightInd w:val="0"/>
        <w:snapToGrid/>
        <w:spacing w:before="0" w:after="0" w:line="360" w:lineRule="auto"/>
        <w:ind w:right="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、主要设备选型</w:t>
      </w:r>
    </w:p>
    <w:p w14:paraId="6EFFD2D6">
      <w:pPr>
        <w:pStyle w:val="23"/>
        <w:adjustRightInd w:val="0"/>
        <w:snapToGrid/>
        <w:spacing w:before="0" w:after="0" w:line="360" w:lineRule="auto"/>
        <w:ind w:right="0"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根据现场调查，升压站已建主要设备基本参数见下表：</w:t>
      </w:r>
    </w:p>
    <w:p w14:paraId="3DEBCF91">
      <w:pPr>
        <w:pStyle w:val="251"/>
        <w:spacing w:before="0" w:beforeLines="0" w:line="24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3-3  本项目主要设备</w:t>
      </w:r>
      <w:r>
        <w:rPr>
          <w:rFonts w:hint="default" w:ascii="Times New Roman" w:hAnsi="Times New Roman" w:eastAsia="宋体" w:cs="Times New Roman"/>
          <w:b/>
          <w:bCs/>
          <w:color w:val="auto"/>
          <w:sz w:val="24"/>
          <w:szCs w:val="24"/>
          <w:highlight w:val="none"/>
        </w:rPr>
        <w:t>基本参数表</w:t>
      </w:r>
    </w:p>
    <w:tbl>
      <w:tblPr>
        <w:tblStyle w:val="49"/>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84"/>
        <w:gridCol w:w="6175"/>
        <w:gridCol w:w="894"/>
      </w:tblGrid>
      <w:tr w14:paraId="7FE0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14:paraId="5C8C97AB">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668" w:type="pct"/>
            <w:vAlign w:val="center"/>
          </w:tcPr>
          <w:p w14:paraId="110C79A6">
            <w:pPr>
              <w:keepNext w:val="0"/>
              <w:keepLines w:val="0"/>
              <w:pageBreakBefore w:val="0"/>
              <w:widowControl w:val="0"/>
              <w:kinsoku/>
              <w:wordWrap/>
              <w:overflowPunct/>
              <w:topLinePunct w:val="0"/>
              <w:autoSpaceDE/>
              <w:autoSpaceDN/>
              <w:bidi w:val="0"/>
              <w:adjustRightInd/>
              <w:snapToGrid/>
              <w:spacing w:line="288" w:lineRule="auto"/>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3485" w:type="pct"/>
            <w:vAlign w:val="center"/>
          </w:tcPr>
          <w:p w14:paraId="617795E7">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设备型号及主要参数</w:t>
            </w:r>
          </w:p>
        </w:tc>
        <w:tc>
          <w:tcPr>
            <w:tcW w:w="504" w:type="pct"/>
          </w:tcPr>
          <w:p w14:paraId="036804E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429D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342" w:type="pct"/>
            <w:vAlign w:val="center"/>
          </w:tcPr>
          <w:p w14:paraId="0872E1B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668" w:type="pct"/>
            <w:vAlign w:val="center"/>
          </w:tcPr>
          <w:p w14:paraId="2BB46E2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主变压器</w:t>
            </w:r>
          </w:p>
        </w:tc>
        <w:tc>
          <w:tcPr>
            <w:tcW w:w="3485" w:type="pct"/>
            <w:vAlign w:val="center"/>
          </w:tcPr>
          <w:p w14:paraId="18E9A0A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变压器</w:t>
            </w:r>
            <w:r>
              <w:rPr>
                <w:rFonts w:hint="default" w:ascii="Times New Roman" w:hAnsi="Times New Roman" w:eastAsia="宋体" w:cs="Times New Roman"/>
                <w:color w:val="auto"/>
                <w:sz w:val="21"/>
                <w:szCs w:val="21"/>
                <w:highlight w:val="none"/>
              </w:rPr>
              <w:t>采用</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台</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00MVA油浸三相双绕组有载调压风冷升压变压器，额定容量</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00MVA，型号SZ18-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00000/220kV</w:t>
            </w:r>
            <w:r>
              <w:rPr>
                <w:rFonts w:hint="default" w:ascii="Times New Roman" w:hAnsi="Times New Roman" w:eastAsia="宋体" w:cs="Times New Roman"/>
                <w:color w:val="auto"/>
                <w:sz w:val="21"/>
                <w:szCs w:val="21"/>
                <w:highlight w:val="none"/>
                <w:lang w:val="en-US" w:eastAsia="zh-CN"/>
              </w:rPr>
              <w:t>。</w:t>
            </w:r>
          </w:p>
          <w:p w14:paraId="2351074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规格：SFZ18-200000/220，230±8×1.25%/37kV，</w:t>
            </w:r>
          </w:p>
          <w:p w14:paraId="631C0CF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200000kVA，Ud=14%，YN,d11</w:t>
            </w:r>
          </w:p>
        </w:tc>
        <w:tc>
          <w:tcPr>
            <w:tcW w:w="504" w:type="pct"/>
            <w:vAlign w:val="center"/>
          </w:tcPr>
          <w:p w14:paraId="575B48F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r w14:paraId="7235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342" w:type="pct"/>
            <w:vMerge w:val="restart"/>
            <w:tcBorders>
              <w:top w:val="nil"/>
            </w:tcBorders>
            <w:vAlign w:val="center"/>
          </w:tcPr>
          <w:p w14:paraId="1662AE4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668" w:type="pct"/>
            <w:vMerge w:val="restart"/>
            <w:vAlign w:val="center"/>
          </w:tcPr>
          <w:p w14:paraId="5D86C72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22</w:t>
            </w:r>
            <w:r>
              <w:rPr>
                <w:rFonts w:hint="default" w:ascii="Times New Roman" w:hAnsi="Times New Roman" w:eastAsia="宋体" w:cs="Times New Roman"/>
                <w:b w:val="0"/>
                <w:bCs w:val="0"/>
                <w:color w:val="auto"/>
                <w:sz w:val="21"/>
                <w:szCs w:val="21"/>
                <w:highlight w:val="none"/>
              </w:rPr>
              <w:t>0</w:t>
            </w:r>
            <w:r>
              <w:rPr>
                <w:rFonts w:hint="default" w:ascii="Times New Roman" w:hAnsi="Times New Roman" w:eastAsia="宋体" w:cs="Times New Roman"/>
                <w:b w:val="0"/>
                <w:bCs w:val="0"/>
                <w:color w:val="auto"/>
                <w:sz w:val="21"/>
                <w:szCs w:val="21"/>
                <w:highlight w:val="none"/>
                <w:lang w:eastAsia="zh-CN"/>
              </w:rPr>
              <w:t>kV</w:t>
            </w:r>
            <w:r>
              <w:rPr>
                <w:rFonts w:hint="default" w:ascii="Times New Roman" w:hAnsi="Times New Roman" w:eastAsia="宋体" w:cs="Times New Roman"/>
                <w:b w:val="0"/>
                <w:bCs w:val="0"/>
                <w:color w:val="auto"/>
                <w:sz w:val="21"/>
                <w:szCs w:val="21"/>
                <w:highlight w:val="none"/>
                <w:lang w:val="en-US" w:eastAsia="zh-CN"/>
              </w:rPr>
              <w:t>配电装置</w:t>
            </w:r>
          </w:p>
        </w:tc>
        <w:tc>
          <w:tcPr>
            <w:tcW w:w="3485" w:type="pct"/>
            <w:vAlign w:val="center"/>
          </w:tcPr>
          <w:p w14:paraId="7FA8AB4F">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rPr>
              <w:t>户</w:t>
            </w:r>
            <w:r>
              <w:rPr>
                <w:rFonts w:hint="default" w:ascii="Times New Roman" w:hAnsi="Times New Roman" w:eastAsia="宋体" w:cs="Times New Roman"/>
                <w:color w:val="auto"/>
                <w:sz w:val="21"/>
                <w:szCs w:val="21"/>
                <w:highlight w:val="none"/>
                <w:lang w:val="en-US" w:eastAsia="zh-CN"/>
              </w:rPr>
              <w:t>外</w:t>
            </w:r>
            <w:r>
              <w:rPr>
                <w:rFonts w:hint="default" w:ascii="Times New Roman" w:hAnsi="Times New Roman" w:eastAsia="宋体" w:cs="Times New Roman"/>
                <w:color w:val="auto"/>
                <w:sz w:val="21"/>
                <w:szCs w:val="21"/>
                <w:highlight w:val="none"/>
              </w:rPr>
              <w:t>GIS成套配电装置</w:t>
            </w:r>
            <w:r>
              <w:rPr>
                <w:rFonts w:hint="default" w:ascii="Times New Roman" w:hAnsi="Times New Roman" w:eastAsia="宋体" w:cs="Times New Roman"/>
                <w:color w:val="auto"/>
                <w:spacing w:val="0"/>
                <w:highlight w:val="none"/>
              </w:rPr>
              <w:t>作为本工程220kV配电装置</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包含主变进线间隔1个、PT 间隔1个、出线间隔2个</w:t>
            </w:r>
            <w:r>
              <w:rPr>
                <w:rFonts w:hint="default" w:ascii="Times New Roman" w:hAnsi="Times New Roman" w:eastAsia="宋体" w:cs="Times New Roman"/>
                <w:color w:val="auto"/>
                <w:sz w:val="21"/>
                <w:szCs w:val="21"/>
                <w:highlight w:val="none"/>
                <w:lang w:eastAsia="zh-CN"/>
              </w:rPr>
              <w:t>。</w:t>
            </w:r>
          </w:p>
        </w:tc>
        <w:tc>
          <w:tcPr>
            <w:tcW w:w="504" w:type="pct"/>
            <w:vMerge w:val="restart"/>
            <w:vAlign w:val="center"/>
          </w:tcPr>
          <w:p w14:paraId="4EF2D47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85D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42" w:type="pct"/>
            <w:vMerge w:val="continue"/>
            <w:vAlign w:val="center"/>
          </w:tcPr>
          <w:p w14:paraId="682CC724">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3C88D98A">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34B6C593">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SF6 断路器：252kV，4000A，125kA，50kA/3s</w:t>
            </w:r>
          </w:p>
        </w:tc>
        <w:tc>
          <w:tcPr>
            <w:tcW w:w="504" w:type="pct"/>
            <w:vMerge w:val="continue"/>
            <w:vAlign w:val="center"/>
          </w:tcPr>
          <w:p w14:paraId="7FFBBEC2">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26FC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42" w:type="pct"/>
            <w:vMerge w:val="continue"/>
            <w:vAlign w:val="center"/>
          </w:tcPr>
          <w:p w14:paraId="659CC14A">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44998B0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4256E5FF">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三工位隔离接地开关：252kV，4000A，125kA，50kA/3s</w:t>
            </w:r>
          </w:p>
        </w:tc>
        <w:tc>
          <w:tcPr>
            <w:tcW w:w="504" w:type="pct"/>
            <w:vMerge w:val="continue"/>
            <w:vAlign w:val="center"/>
          </w:tcPr>
          <w:p w14:paraId="1A31A12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6AC1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42" w:type="pct"/>
            <w:vMerge w:val="continue"/>
            <w:vAlign w:val="center"/>
          </w:tcPr>
          <w:p w14:paraId="5BD2638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70047C6E">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088E25D7">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快速接地开关：252kV，125kA，50kA/3s</w:t>
            </w:r>
          </w:p>
        </w:tc>
        <w:tc>
          <w:tcPr>
            <w:tcW w:w="504" w:type="pct"/>
            <w:vMerge w:val="continue"/>
            <w:vAlign w:val="center"/>
          </w:tcPr>
          <w:p w14:paraId="5FFF5CB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4471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42" w:type="pct"/>
            <w:vMerge w:val="continue"/>
            <w:vAlign w:val="center"/>
          </w:tcPr>
          <w:p w14:paraId="2C47D00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7873B20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3AD7B148">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检修接地开关：252kV，125kA，50kA/3s</w:t>
            </w:r>
          </w:p>
        </w:tc>
        <w:tc>
          <w:tcPr>
            <w:tcW w:w="504" w:type="pct"/>
            <w:vMerge w:val="continue"/>
            <w:vAlign w:val="center"/>
          </w:tcPr>
          <w:p w14:paraId="05FE3161">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0304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42" w:type="pct"/>
            <w:vMerge w:val="continue"/>
            <w:vAlign w:val="center"/>
          </w:tcPr>
          <w:p w14:paraId="67BD256C">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616BC983">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69640250">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电流互感器：220kV，500~1600/1A</w:t>
            </w:r>
          </w:p>
        </w:tc>
        <w:tc>
          <w:tcPr>
            <w:tcW w:w="504" w:type="pct"/>
            <w:vMerge w:val="continue"/>
            <w:vAlign w:val="center"/>
          </w:tcPr>
          <w:p w14:paraId="35383BC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09CF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42" w:type="pct"/>
            <w:vMerge w:val="continue"/>
            <w:vAlign w:val="center"/>
          </w:tcPr>
          <w:p w14:paraId="43B91AB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63C8897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5A4F2F03">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氧化锌避雷器：Y10W-204/532，204kV</w:t>
            </w:r>
          </w:p>
        </w:tc>
        <w:tc>
          <w:tcPr>
            <w:tcW w:w="504" w:type="pct"/>
            <w:vMerge w:val="continue"/>
            <w:vAlign w:val="center"/>
          </w:tcPr>
          <w:p w14:paraId="291C50E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02AA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342" w:type="pct"/>
            <w:vMerge w:val="continue"/>
            <w:vAlign w:val="center"/>
          </w:tcPr>
          <w:p w14:paraId="5121572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8" w:type="pct"/>
            <w:vMerge w:val="continue"/>
            <w:vAlign w:val="center"/>
          </w:tcPr>
          <w:p w14:paraId="2D3E262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3485" w:type="pct"/>
            <w:vAlign w:val="center"/>
          </w:tcPr>
          <w:p w14:paraId="187FE5A3">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出线电压互感器：TYD-220/</w:t>
            </w: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sz w:val="21"/>
                <w:szCs w:val="21"/>
                <w:highlight w:val="none"/>
                <w:lang w:val="en-US" w:eastAsia="zh-CN"/>
              </w:rPr>
              <w:t>-0.05H，220kV，220/</w:t>
            </w: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1"/>
                <w:szCs w:val="21"/>
                <w:highlight w:val="none"/>
                <w:lang w:val="en-US" w:eastAsia="zh-CN"/>
              </w:rPr>
              <w:t>3/0.1kV，0.2/3P</w:t>
            </w:r>
          </w:p>
        </w:tc>
        <w:tc>
          <w:tcPr>
            <w:tcW w:w="504" w:type="pct"/>
            <w:vMerge w:val="continue"/>
            <w:vAlign w:val="center"/>
          </w:tcPr>
          <w:p w14:paraId="71EE6F7B">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4790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jc w:val="center"/>
        </w:trPr>
        <w:tc>
          <w:tcPr>
            <w:tcW w:w="342" w:type="pct"/>
            <w:vAlign w:val="center"/>
          </w:tcPr>
          <w:p w14:paraId="2DE20EB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w:t>
            </w:r>
          </w:p>
        </w:tc>
        <w:tc>
          <w:tcPr>
            <w:tcW w:w="668" w:type="pct"/>
            <w:vAlign w:val="center"/>
          </w:tcPr>
          <w:p w14:paraId="2FD59329">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35</w:t>
            </w:r>
            <w:r>
              <w:rPr>
                <w:rFonts w:hint="default" w:ascii="Times New Roman" w:hAnsi="Times New Roman" w:eastAsia="宋体" w:cs="Times New Roman"/>
                <w:b w:val="0"/>
                <w:bCs w:val="0"/>
                <w:color w:val="auto"/>
                <w:sz w:val="21"/>
                <w:szCs w:val="21"/>
                <w:highlight w:val="none"/>
                <w:lang w:eastAsia="zh-CN"/>
              </w:rPr>
              <w:t>kV</w:t>
            </w:r>
            <w:r>
              <w:rPr>
                <w:rFonts w:hint="default" w:ascii="Times New Roman" w:hAnsi="Times New Roman" w:eastAsia="宋体" w:cs="Times New Roman"/>
                <w:b w:val="0"/>
                <w:bCs w:val="0"/>
                <w:color w:val="auto"/>
                <w:sz w:val="21"/>
                <w:szCs w:val="21"/>
                <w:highlight w:val="none"/>
                <w:lang w:val="en-US" w:eastAsia="zh-CN"/>
              </w:rPr>
              <w:t>配电装置</w:t>
            </w:r>
          </w:p>
        </w:tc>
        <w:tc>
          <w:tcPr>
            <w:tcW w:w="3485" w:type="pct"/>
            <w:vAlign w:val="center"/>
          </w:tcPr>
          <w:p w14:paraId="0FE3FD79">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rPr>
              <w:t>35kV户内气体绝缘金属封闭高压开关柜</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35kV配电柜主要技术参数如下：</w:t>
            </w:r>
          </w:p>
          <w:p w14:paraId="52B0CC75">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型号：充气柜</w:t>
            </w:r>
          </w:p>
          <w:p w14:paraId="105C5254">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额定电压：35kV</w:t>
            </w:r>
          </w:p>
          <w:p w14:paraId="0216D058">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额定工作电流：2500A(主母线、主变柜)</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1250A(馈线柜)</w:t>
            </w:r>
          </w:p>
          <w:p w14:paraId="7A0D0FE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额定频率：50H</w:t>
            </w:r>
            <w:r>
              <w:rPr>
                <w:rFonts w:hint="default" w:ascii="Times New Roman" w:hAnsi="Times New Roman" w:eastAsia="宋体" w:cs="Times New Roman"/>
                <w:color w:val="auto"/>
                <w:sz w:val="21"/>
                <w:szCs w:val="21"/>
                <w:highlight w:val="none"/>
                <w:lang w:val="en-US" w:eastAsia="zh-CN"/>
              </w:rPr>
              <w:t>z</w:t>
            </w:r>
          </w:p>
          <w:p w14:paraId="061B4665">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额定短路开断电流：31.5kA</w:t>
            </w:r>
          </w:p>
          <w:p w14:paraId="23EB6FB0">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额定短时耐受电流：31.5kA(4s)</w:t>
            </w:r>
          </w:p>
          <w:p w14:paraId="400B6B16">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额定动稳定电流：80kA</w:t>
            </w:r>
          </w:p>
        </w:tc>
        <w:tc>
          <w:tcPr>
            <w:tcW w:w="504" w:type="pct"/>
            <w:vAlign w:val="center"/>
          </w:tcPr>
          <w:p w14:paraId="612575B6">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r>
      <w:tr w14:paraId="511F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4" w:hRule="atLeast"/>
          <w:jc w:val="center"/>
        </w:trPr>
        <w:tc>
          <w:tcPr>
            <w:tcW w:w="342" w:type="pct"/>
            <w:vAlign w:val="center"/>
          </w:tcPr>
          <w:p w14:paraId="41A0E8C0">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668" w:type="pct"/>
            <w:vAlign w:val="center"/>
          </w:tcPr>
          <w:p w14:paraId="0DE7D507">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无功补偿</w:t>
            </w:r>
            <w:r>
              <w:rPr>
                <w:rFonts w:hint="default" w:ascii="Times New Roman" w:hAnsi="Times New Roman" w:eastAsia="宋体" w:cs="Times New Roman"/>
                <w:b w:val="0"/>
                <w:bCs w:val="0"/>
                <w:color w:val="auto"/>
                <w:sz w:val="21"/>
                <w:szCs w:val="21"/>
                <w:highlight w:val="none"/>
                <w:lang w:val="en-US" w:eastAsia="zh-CN"/>
              </w:rPr>
              <w:t>系统</w:t>
            </w:r>
          </w:p>
        </w:tc>
        <w:tc>
          <w:tcPr>
            <w:tcW w:w="3485" w:type="pct"/>
            <w:vAlign w:val="center"/>
          </w:tcPr>
          <w:p w14:paraId="6B711D28">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升压变装设2</w:t>
            </w:r>
            <w:r>
              <w:rPr>
                <w:rFonts w:hint="default" w:ascii="Times New Roman" w:hAnsi="Times New Roman" w:eastAsia="宋体" w:cs="Times New Roman"/>
                <w:color w:val="auto"/>
                <w:sz w:val="21"/>
                <w:szCs w:val="21"/>
                <w:highlight w:val="none"/>
                <w:lang w:val="en-US" w:eastAsia="zh-CN"/>
              </w:rPr>
              <w:t>套户外式</w:t>
            </w:r>
            <w:r>
              <w:rPr>
                <w:rFonts w:hint="default" w:ascii="Times New Roman" w:hAnsi="Times New Roman" w:eastAsia="宋体" w:cs="Times New Roman"/>
                <w:color w:val="auto"/>
                <w:sz w:val="21"/>
                <w:szCs w:val="21"/>
                <w:highlight w:val="none"/>
              </w:rPr>
              <w:t>SVG动态无功补偿装置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无功补偿装置容量为68Mvar，在升压站35kV母线上设置2套34Mvar动态无功补偿成套装置，采用SVG直挂式，可实现无功容量-68Mvar～+68Mvar连续平滑可调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水冷</w:t>
            </w:r>
            <w:r>
              <w:rPr>
                <w:rFonts w:hint="default" w:ascii="Times New Roman" w:hAnsi="Times New Roman" w:eastAsia="宋体" w:cs="Times New Roman"/>
                <w:color w:val="auto"/>
                <w:sz w:val="21"/>
                <w:szCs w:val="21"/>
                <w:highlight w:val="none"/>
                <w:lang w:eastAsia="zh-CN"/>
              </w:rPr>
              <w:t>。</w:t>
            </w:r>
          </w:p>
          <w:p w14:paraId="5C309A6F">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额定电压：35kV</w:t>
            </w:r>
          </w:p>
          <w:p w14:paraId="74F144AD">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额定容量：±34MVar</w:t>
            </w:r>
          </w:p>
          <w:p w14:paraId="5E3260A5">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调节容量范围：-100%～100%，连续平滑可调</w:t>
            </w:r>
          </w:p>
          <w:p w14:paraId="12E07D0F">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无功调节精度：无级调节</w:t>
            </w:r>
          </w:p>
          <w:p w14:paraId="7C531520">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调节响应时间：&lt;30ms</w:t>
            </w:r>
          </w:p>
        </w:tc>
        <w:tc>
          <w:tcPr>
            <w:tcW w:w="504" w:type="pct"/>
            <w:vAlign w:val="center"/>
          </w:tcPr>
          <w:p w14:paraId="7152A74E">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2套</w:t>
            </w:r>
          </w:p>
        </w:tc>
      </w:tr>
      <w:tr w14:paraId="3FCA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Align w:val="center"/>
          </w:tcPr>
          <w:p w14:paraId="41685DEF">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668" w:type="pct"/>
            <w:vAlign w:val="center"/>
          </w:tcPr>
          <w:p w14:paraId="28880D99">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highlight w:val="none"/>
              </w:rPr>
              <w:t>站用电系统</w:t>
            </w:r>
          </w:p>
        </w:tc>
        <w:tc>
          <w:tcPr>
            <w:tcW w:w="3485" w:type="pct"/>
            <w:vAlign w:val="center"/>
          </w:tcPr>
          <w:p w14:paraId="0010CA34">
            <w:pPr>
              <w:keepNext w:val="0"/>
              <w:keepLines w:val="0"/>
              <w:pageBreakBefore w:val="0"/>
              <w:widowControl w:val="0"/>
              <w:kinsoku/>
              <w:wordWrap/>
              <w:overflowPunct/>
              <w:topLinePunct w:val="0"/>
              <w:autoSpaceDE/>
              <w:autoSpaceDN/>
              <w:bidi w:val="0"/>
              <w:adjustRightInd/>
              <w:snapToGrid/>
              <w:spacing w:line="300" w:lineRule="auto"/>
              <w:ind w:left="-84" w:leftChars="-40" w:right="-84" w:rightChars="-4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站用</w:t>
            </w:r>
            <w:r>
              <w:rPr>
                <w:rFonts w:hint="default" w:ascii="Times New Roman" w:hAnsi="Times New Roman" w:eastAsia="宋体" w:cs="Times New Roman"/>
                <w:color w:val="auto"/>
                <w:sz w:val="21"/>
                <w:szCs w:val="21"/>
                <w:highlight w:val="none"/>
                <w:lang w:val="en-US" w:eastAsia="zh-CN"/>
              </w:rPr>
              <w:t>电</w:t>
            </w:r>
            <w:r>
              <w:rPr>
                <w:rFonts w:hint="default" w:ascii="Times New Roman" w:hAnsi="Times New Roman" w:eastAsia="宋体" w:cs="Times New Roman"/>
                <w:color w:val="auto"/>
                <w:sz w:val="21"/>
                <w:szCs w:val="21"/>
                <w:highlight w:val="none"/>
              </w:rPr>
              <w:t>采用</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eastAsia="zh-CN"/>
              </w:rPr>
              <w:t>kV</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val="en-US" w:eastAsia="zh-CN"/>
              </w:rPr>
              <w:t>干式</w:t>
            </w:r>
            <w:r>
              <w:rPr>
                <w:rFonts w:hint="default" w:ascii="Times New Roman" w:hAnsi="Times New Roman" w:eastAsia="宋体" w:cs="Times New Roman"/>
                <w:color w:val="auto"/>
                <w:sz w:val="21"/>
                <w:szCs w:val="21"/>
                <w:highlight w:val="none"/>
              </w:rPr>
              <w:t>变压器，电源从35kV配电装置引接，站用电380V配电装置选用MNS型低压配电柜，共7面，采用电缆馈出至用电负荷。</w:t>
            </w:r>
          </w:p>
        </w:tc>
        <w:tc>
          <w:tcPr>
            <w:tcW w:w="504" w:type="pct"/>
            <w:vAlign w:val="center"/>
          </w:tcPr>
          <w:p w14:paraId="7044FB6D">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1台</w:t>
            </w:r>
          </w:p>
        </w:tc>
      </w:tr>
    </w:tbl>
    <w:p w14:paraId="33DD1214">
      <w:pPr>
        <w:keepNext w:val="0"/>
        <w:keepLines w:val="0"/>
        <w:pageBreakBefore w:val="0"/>
        <w:tabs>
          <w:tab w:val="left" w:pos="3240"/>
        </w:tabs>
        <w:kinsoku/>
        <w:wordWrap/>
        <w:overflowPunct/>
        <w:topLinePunct w:val="0"/>
        <w:autoSpaceDE/>
        <w:autoSpaceDN/>
        <w:bidi w:val="0"/>
        <w:adjustRightInd w:val="0"/>
        <w:snapToGrid/>
        <w:spacing w:line="348"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工程占地情况</w:t>
      </w:r>
    </w:p>
    <w:p w14:paraId="2C47D2AA">
      <w:pPr>
        <w:keepNext w:val="0"/>
        <w:keepLines w:val="0"/>
        <w:pageBreakBefore w:val="0"/>
        <w:widowControl w:val="0"/>
        <w:kinsoku/>
        <w:wordWrap/>
        <w:overflowPunct/>
        <w:topLinePunct w:val="0"/>
        <w:autoSpaceDE/>
        <w:autoSpaceDN/>
        <w:bidi w:val="0"/>
        <w:adjustRightInd w:val="0"/>
        <w:snapToGrid/>
        <w:spacing w:line="348" w:lineRule="auto"/>
        <w:ind w:firstLine="480" w:firstLineChars="200"/>
        <w:jc w:val="both"/>
        <w:textAlignment w:val="auto"/>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rPr>
        <w:t>220kV升压站</w:t>
      </w:r>
      <w:r>
        <w:rPr>
          <w:rFonts w:hint="default" w:ascii="Times New Roman" w:hAnsi="Times New Roman" w:eastAsia="宋体" w:cs="Times New Roman"/>
          <w:color w:val="auto"/>
          <w:sz w:val="24"/>
          <w:highlight w:val="none"/>
          <w:vertAlign w:val="baseline"/>
          <w:lang w:val="en-US" w:eastAsia="zh-CN"/>
        </w:rPr>
        <w:t>占地面积为</w:t>
      </w:r>
      <w:r>
        <w:rPr>
          <w:rFonts w:hint="default" w:ascii="Times New Roman" w:hAnsi="Times New Roman" w:eastAsia="宋体" w:cs="Times New Roman"/>
          <w:color w:val="auto"/>
          <w:sz w:val="24"/>
          <w:szCs w:val="24"/>
          <w:highlight w:val="none"/>
          <w:lang w:val="en-US" w:eastAsia="zh-CN"/>
        </w:rPr>
        <w:t>9962.23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不含进场道路</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highlight w:val="none"/>
        </w:rPr>
        <w:t>，均为永久占地，</w:t>
      </w:r>
      <w:r>
        <w:rPr>
          <w:rFonts w:hint="default" w:ascii="Times New Roman" w:hAnsi="Times New Roman" w:eastAsia="宋体" w:cs="Times New Roman"/>
          <w:b w:val="0"/>
          <w:bCs w:val="0"/>
          <w:color w:val="auto"/>
          <w:spacing w:val="0"/>
          <w:kern w:val="2"/>
          <w:sz w:val="24"/>
          <w:szCs w:val="24"/>
          <w:highlight w:val="none"/>
          <w:lang w:val="en-US" w:eastAsia="zh-CN" w:bidi="ar-SA"/>
        </w:rPr>
        <w:t>根据</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》，升压站</w:t>
      </w:r>
      <w:r>
        <w:rPr>
          <w:rFonts w:hint="default" w:ascii="Times New Roman" w:hAnsi="Times New Roman" w:eastAsia="宋体" w:cs="Times New Roman"/>
          <w:color w:val="auto"/>
          <w:sz w:val="24"/>
          <w:highlight w:val="none"/>
        </w:rPr>
        <w:t>占地类型</w:t>
      </w:r>
      <w:r>
        <w:rPr>
          <w:rFonts w:hint="default" w:ascii="Times New Roman" w:hAnsi="Times New Roman" w:eastAsia="宋体" w:cs="Times New Roman"/>
          <w:color w:val="auto"/>
          <w:sz w:val="24"/>
          <w:highlight w:val="none"/>
          <w:lang w:val="en-US" w:eastAsia="zh-CN"/>
        </w:rPr>
        <w:t>主要包括一般耕地、荒草地及裸露未利用地，其中</w:t>
      </w:r>
      <w:r>
        <w:rPr>
          <w:rFonts w:hint="default" w:ascii="Times New Roman" w:hAnsi="Times New Roman" w:eastAsia="宋体" w:cs="Times New Roman"/>
          <w:color w:val="auto"/>
          <w:sz w:val="24"/>
          <w:highlight w:val="none"/>
        </w:rPr>
        <w:t>以荒草地为主。</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220kV升压站项目用地范围已包括在</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用地范围内，升压站用地块现状均为工业用地。</w:t>
      </w:r>
    </w:p>
    <w:p w14:paraId="368722CC">
      <w:pPr>
        <w:keepNext w:val="0"/>
        <w:keepLines w:val="0"/>
        <w:pageBreakBefore w:val="0"/>
        <w:tabs>
          <w:tab w:val="left" w:pos="3240"/>
        </w:tabs>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bCs/>
          <w:color w:val="auto"/>
          <w:kern w:val="0"/>
          <w:sz w:val="24"/>
          <w:szCs w:val="24"/>
          <w:highlight w:val="none"/>
          <w:lang w:val="en-US" w:eastAsia="zh-CN" w:bidi="ar-SA"/>
        </w:rPr>
        <w:t xml:space="preserve">劳动定员及工作制度 </w:t>
      </w:r>
    </w:p>
    <w:p w14:paraId="79F8AEF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。本项目与光伏发电项目主体工程服务年限一致，为25年。</w:t>
      </w:r>
    </w:p>
    <w:p w14:paraId="1C4B3C5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工作制度：采用24小时值班制，全年工作365天。</w:t>
      </w:r>
    </w:p>
    <w:p w14:paraId="226842F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劳动定员：本项目220kV升压站属于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劳动定员为</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人，均在</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内食宿。本项目不新增劳动定员。</w:t>
      </w:r>
    </w:p>
    <w:p w14:paraId="13C3C001">
      <w:pPr>
        <w:spacing w:line="360" w:lineRule="auto"/>
        <w:outlineLvl w:val="2"/>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3.2电磁环境影响因素识别</w:t>
      </w:r>
      <w:bookmarkEnd w:id="336"/>
    </w:p>
    <w:p w14:paraId="0C4F5619">
      <w:pPr>
        <w:widowControl/>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本工程220kV升压站电磁环境影响主要产生于运行期，主要电磁污染有工频电场、工频磁场，主要存在于配电装置母线、电气设备附近。本项目产生电磁场的主要设备有主变压器、配电装置等。</w:t>
      </w:r>
    </w:p>
    <w:p w14:paraId="61BEA402">
      <w:pPr>
        <w:spacing w:line="360" w:lineRule="auto"/>
        <w:rPr>
          <w:rFonts w:hint="default" w:ascii="Times New Roman" w:hAnsi="Times New Roman" w:eastAsia="宋体" w:cs="Times New Roman"/>
          <w:b/>
          <w:color w:val="auto"/>
          <w:highlight w:val="none"/>
        </w:rPr>
      </w:pPr>
    </w:p>
    <w:p w14:paraId="5AE04B50">
      <w:pPr>
        <w:pStyle w:val="16"/>
        <w:adjustRightInd/>
        <w:jc w:val="left"/>
        <w:rPr>
          <w:rFonts w:hint="default" w:ascii="Times New Roman" w:hAnsi="Times New Roman" w:eastAsia="宋体" w:cs="Times New Roman"/>
          <w:color w:val="auto"/>
          <w:highlight w:val="none"/>
        </w:rPr>
      </w:pPr>
    </w:p>
    <w:p w14:paraId="394FA253">
      <w:pPr>
        <w:pStyle w:val="16"/>
        <w:adjustRightInd/>
        <w:rPr>
          <w:rFonts w:hint="default" w:ascii="Times New Roman" w:hAnsi="Times New Roman" w:eastAsia="宋体" w:cs="Times New Roman"/>
          <w:b/>
          <w:bCs/>
          <w:color w:val="auto"/>
          <w:highlight w:val="none"/>
        </w:rPr>
      </w:pPr>
    </w:p>
    <w:p w14:paraId="5EE0124C">
      <w:pPr>
        <w:pStyle w:val="16"/>
        <w:adjustRightInd/>
        <w:rPr>
          <w:rFonts w:hint="default" w:ascii="Times New Roman" w:hAnsi="Times New Roman" w:eastAsia="宋体" w:cs="Times New Roman"/>
          <w:b/>
          <w:bCs/>
          <w:color w:val="auto"/>
          <w:highlight w:val="none"/>
        </w:rPr>
      </w:pPr>
    </w:p>
    <w:p w14:paraId="047E6725">
      <w:pPr>
        <w:pStyle w:val="16"/>
        <w:adjustRightInd/>
        <w:rPr>
          <w:rFonts w:hint="default" w:ascii="Times New Roman" w:hAnsi="Times New Roman" w:eastAsia="宋体" w:cs="Times New Roman"/>
          <w:b/>
          <w:bCs/>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93597B4">
      <w:pPr>
        <w:spacing w:before="312" w:beforeLines="100" w:after="156" w:afterLines="50" w:line="360" w:lineRule="auto"/>
        <w:outlineLvl w:val="1"/>
        <w:rPr>
          <w:rFonts w:hint="default" w:ascii="Times New Roman" w:hAnsi="Times New Roman" w:eastAsia="宋体" w:cs="Times New Roman"/>
          <w:b/>
          <w:bCs/>
          <w:color w:val="auto"/>
          <w:sz w:val="32"/>
          <w:szCs w:val="32"/>
          <w:highlight w:val="none"/>
        </w:rPr>
      </w:pPr>
      <w:bookmarkStart w:id="337" w:name="_Toc19234"/>
      <w:r>
        <w:rPr>
          <w:rFonts w:hint="default" w:ascii="Times New Roman" w:hAnsi="Times New Roman" w:eastAsia="宋体" w:cs="Times New Roman"/>
          <w:b/>
          <w:bCs/>
          <w:color w:val="auto"/>
          <w:sz w:val="32"/>
          <w:szCs w:val="32"/>
          <w:highlight w:val="none"/>
        </w:rPr>
        <w:t>4、电磁环境影响现状调查与评价</w:t>
      </w:r>
      <w:bookmarkEnd w:id="337"/>
    </w:p>
    <w:p w14:paraId="53C67F57">
      <w:pPr>
        <w:spacing w:line="360" w:lineRule="auto"/>
        <w:outlineLvl w:val="2"/>
        <w:rPr>
          <w:rFonts w:hint="default" w:ascii="Times New Roman" w:hAnsi="Times New Roman" w:eastAsia="宋体" w:cs="Times New Roman"/>
          <w:b/>
          <w:bCs/>
          <w:color w:val="auto"/>
          <w:sz w:val="28"/>
          <w:szCs w:val="28"/>
          <w:highlight w:val="none"/>
        </w:rPr>
      </w:pPr>
      <w:bookmarkStart w:id="338" w:name="_Toc27092"/>
      <w:r>
        <w:rPr>
          <w:rFonts w:hint="default" w:ascii="Times New Roman" w:hAnsi="Times New Roman" w:eastAsia="宋体" w:cs="Times New Roman"/>
          <w:b/>
          <w:bCs/>
          <w:color w:val="auto"/>
          <w:sz w:val="24"/>
          <w:highlight w:val="none"/>
        </w:rPr>
        <w:t>4.1电磁环境现状监测布点及合理性分析</w:t>
      </w:r>
      <w:bookmarkEnd w:id="338"/>
    </w:p>
    <w:p w14:paraId="32316EDB">
      <w:pPr>
        <w:spacing w:line="360" w:lineRule="auto"/>
        <w:ind w:firstLine="352" w:firstLineChars="14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本次环评在进行现场调查期间，评价人员根据2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0kV升压站布置方式、外环境关系和周围居民分布情况确立了具体的电磁环境监测点位。</w:t>
      </w:r>
    </w:p>
    <w:p w14:paraId="10AB3205">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根据现场踏勘，本项目220kV升压站</w:t>
      </w:r>
      <w:r>
        <w:rPr>
          <w:rFonts w:hint="default" w:ascii="Times New Roman" w:hAnsi="Times New Roman" w:eastAsia="宋体" w:cs="Times New Roman"/>
          <w:color w:val="auto"/>
          <w:kern w:val="0"/>
          <w:sz w:val="24"/>
          <w:highlight w:val="none"/>
          <w:lang w:val="en-US" w:eastAsia="zh-CN"/>
        </w:rPr>
        <w:t>电磁环境评价范围内</w:t>
      </w:r>
      <w:r>
        <w:rPr>
          <w:rFonts w:hint="default" w:ascii="Times New Roman" w:hAnsi="Times New Roman" w:eastAsia="宋体" w:cs="Times New Roman"/>
          <w:color w:val="auto"/>
          <w:kern w:val="0"/>
          <w:sz w:val="24"/>
          <w:highlight w:val="none"/>
        </w:rPr>
        <w:t>不涉及</w:t>
      </w:r>
      <w:r>
        <w:rPr>
          <w:rFonts w:hint="default" w:ascii="Times New Roman" w:hAnsi="Times New Roman" w:eastAsia="宋体" w:cs="Times New Roman"/>
          <w:color w:val="auto"/>
          <w:kern w:val="0"/>
          <w:sz w:val="24"/>
          <w:highlight w:val="none"/>
          <w:lang w:val="en-US" w:eastAsia="zh-CN"/>
        </w:rPr>
        <w:t>电磁</w:t>
      </w:r>
      <w:r>
        <w:rPr>
          <w:rFonts w:hint="default" w:ascii="Times New Roman" w:hAnsi="Times New Roman" w:eastAsia="宋体" w:cs="Times New Roman"/>
          <w:color w:val="auto"/>
          <w:sz w:val="24"/>
          <w:highlight w:val="none"/>
        </w:rPr>
        <w:t>环境敏感目标，本次监测在220kV升压站站址四周进行了电磁环境监测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同时于</w:t>
      </w:r>
      <w:r>
        <w:rPr>
          <w:rFonts w:hint="default" w:ascii="Times New Roman" w:hAnsi="Times New Roman" w:eastAsia="宋体" w:cs="Times New Roman"/>
          <w:color w:val="auto"/>
          <w:sz w:val="24"/>
          <w:szCs w:val="24"/>
          <w:highlight w:val="none"/>
          <w:lang w:val="en-US" w:eastAsia="zh-CN"/>
        </w:rPr>
        <w:t>站址西南侧围墙外设置了1个断面监测点（由于</w:t>
      </w:r>
      <w:r>
        <w:rPr>
          <w:rFonts w:hint="default" w:ascii="Times New Roman" w:hAnsi="Times New Roman" w:eastAsia="宋体" w:cs="Times New Roman"/>
          <w:color w:val="auto"/>
          <w:sz w:val="24"/>
          <w:highlight w:val="none"/>
        </w:rPr>
        <w:t>站址</w:t>
      </w:r>
      <w:r>
        <w:rPr>
          <w:rFonts w:hint="default" w:ascii="Times New Roman" w:hAnsi="Times New Roman" w:eastAsia="宋体" w:cs="Times New Roman"/>
          <w:color w:val="auto"/>
          <w:sz w:val="24"/>
          <w:highlight w:val="none"/>
          <w:lang w:val="en-US" w:eastAsia="zh-CN"/>
        </w:rPr>
        <w:t>周边均为林地，站址西南侧为进站道路</w:t>
      </w:r>
      <w:r>
        <w:rPr>
          <w:rFonts w:hint="default" w:ascii="Times New Roman" w:hAnsi="Times New Roman" w:eastAsia="宋体" w:cs="Times New Roman"/>
          <w:color w:val="auto"/>
          <w:sz w:val="24"/>
          <w:highlight w:val="none"/>
        </w:rPr>
        <w:t>，相对宽敞，故监测断面选择在站址</w:t>
      </w:r>
      <w:r>
        <w:rPr>
          <w:rFonts w:hint="default" w:ascii="Times New Roman" w:hAnsi="Times New Roman" w:eastAsia="宋体" w:cs="Times New Roman"/>
          <w:color w:val="auto"/>
          <w:sz w:val="24"/>
          <w:highlight w:val="none"/>
          <w:lang w:val="en-US" w:eastAsia="zh-CN"/>
        </w:rPr>
        <w:t>西南</w:t>
      </w:r>
      <w:r>
        <w:rPr>
          <w:rFonts w:hint="default" w:ascii="Times New Roman" w:hAnsi="Times New Roman" w:eastAsia="宋体" w:cs="Times New Roman"/>
          <w:color w:val="auto"/>
          <w:sz w:val="24"/>
          <w:highlight w:val="none"/>
        </w:rPr>
        <w:t>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即进站道路一侧</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。监测内容包括工频电场强度、工频磁感应强度。监测点位置详见表4-1和附图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5A624C0A">
      <w:pPr>
        <w:spacing w:line="360" w:lineRule="auto"/>
        <w:ind w:firstLine="352" w:firstLineChars="147"/>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各</w:t>
      </w:r>
      <w:r>
        <w:rPr>
          <w:rFonts w:hint="default" w:ascii="Times New Roman" w:hAnsi="Times New Roman" w:eastAsia="宋体" w:cs="Times New Roman"/>
          <w:color w:val="auto"/>
          <w:sz w:val="24"/>
          <w:highlight w:val="none"/>
        </w:rPr>
        <w:t>监测点位的布设，监测数据能够反映</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220kV升压站周围电磁环境质量现状，监测点位布设合理。</w:t>
      </w:r>
    </w:p>
    <w:p w14:paraId="6A4366D2">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表4-1  220kV升压站现状监测点位布设一览表</w:t>
      </w:r>
    </w:p>
    <w:tbl>
      <w:tblPr>
        <w:tblStyle w:val="49"/>
        <w:tblW w:w="4950" w:type="pct"/>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5398"/>
        <w:gridCol w:w="2035"/>
      </w:tblGrid>
      <w:tr w14:paraId="6CA6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94" w:type="pct"/>
            <w:noWrap w:val="0"/>
            <w:vAlign w:val="center"/>
          </w:tcPr>
          <w:p w14:paraId="18F8ED9B">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pacing w:val="0"/>
                <w:w w:val="100"/>
                <w:kern w:val="0"/>
                <w:sz w:val="21"/>
                <w:szCs w:val="21"/>
                <w:highlight w:val="none"/>
                <w:lang w:val="en-US" w:eastAsia="zh-CN" w:bidi="ar-SA"/>
              </w:rPr>
            </w:pPr>
            <w:r>
              <w:rPr>
                <w:rFonts w:hint="default" w:ascii="Times New Roman" w:hAnsi="Times New Roman" w:eastAsia="宋体" w:cs="Times New Roman"/>
                <w:b/>
                <w:bCs w:val="0"/>
                <w:color w:val="auto"/>
                <w:spacing w:val="0"/>
                <w:w w:val="100"/>
                <w:kern w:val="0"/>
                <w:sz w:val="21"/>
                <w:szCs w:val="21"/>
                <w:highlight w:val="none"/>
                <w:lang w:val="en-US" w:eastAsia="zh-CN" w:bidi="ar-SA"/>
              </w:rPr>
              <w:t>序号</w:t>
            </w:r>
          </w:p>
        </w:tc>
        <w:tc>
          <w:tcPr>
            <w:tcW w:w="3199" w:type="pct"/>
            <w:noWrap w:val="0"/>
            <w:vAlign w:val="center"/>
          </w:tcPr>
          <w:p w14:paraId="2D144C1A">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pacing w:val="0"/>
                <w:w w:val="100"/>
                <w:kern w:val="0"/>
                <w:sz w:val="21"/>
                <w:szCs w:val="21"/>
                <w:highlight w:val="none"/>
                <w:lang w:val="en-US" w:eastAsia="zh-CN" w:bidi="ar-SA"/>
              </w:rPr>
            </w:pPr>
            <w:r>
              <w:rPr>
                <w:rFonts w:hint="default" w:ascii="Times New Roman" w:hAnsi="Times New Roman" w:eastAsia="宋体" w:cs="Times New Roman"/>
                <w:b/>
                <w:bCs w:val="0"/>
                <w:color w:val="auto"/>
                <w:spacing w:val="0"/>
                <w:w w:val="100"/>
                <w:kern w:val="0"/>
                <w:sz w:val="21"/>
                <w:szCs w:val="21"/>
                <w:highlight w:val="none"/>
                <w:lang w:val="en-US" w:eastAsia="zh-CN" w:bidi="ar-SA"/>
              </w:rPr>
              <w:t>点位名称</w:t>
            </w:r>
          </w:p>
        </w:tc>
        <w:tc>
          <w:tcPr>
            <w:tcW w:w="1205" w:type="pct"/>
            <w:noWrap w:val="0"/>
            <w:vAlign w:val="center"/>
          </w:tcPr>
          <w:p w14:paraId="0AE9151B">
            <w:pPr>
              <w:spacing w:line="360" w:lineRule="auto"/>
              <w:jc w:val="center"/>
              <w:rPr>
                <w:rFonts w:hint="default" w:ascii="Times New Roman" w:hAnsi="Times New Roman" w:eastAsia="宋体" w:cs="Times New Roman"/>
                <w:b/>
                <w:bCs w:val="0"/>
                <w:color w:val="auto"/>
                <w:spacing w:val="0"/>
                <w:w w:val="100"/>
                <w:kern w:val="0"/>
                <w:sz w:val="21"/>
                <w:szCs w:val="21"/>
                <w:highlight w:val="none"/>
                <w:lang w:val="en-US" w:eastAsia="zh-CN" w:bidi="ar-SA"/>
              </w:rPr>
            </w:pPr>
            <w:r>
              <w:rPr>
                <w:rFonts w:hint="default" w:ascii="Times New Roman" w:hAnsi="Times New Roman" w:eastAsia="宋体" w:cs="Times New Roman"/>
                <w:b/>
                <w:bCs w:val="0"/>
                <w:color w:val="auto"/>
                <w:szCs w:val="21"/>
                <w:highlight w:val="none"/>
              </w:rPr>
              <w:t>监测内容</w:t>
            </w:r>
          </w:p>
        </w:tc>
      </w:tr>
      <w:tr w14:paraId="682F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3A07726F">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1</w:t>
            </w:r>
          </w:p>
        </w:tc>
        <w:tc>
          <w:tcPr>
            <w:tcW w:w="3199" w:type="pct"/>
            <w:noWrap w:val="0"/>
            <w:vAlign w:val="center"/>
          </w:tcPr>
          <w:p w14:paraId="14B28649">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w w:val="10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220kV升压站东侧围墙外5m处</w:t>
            </w:r>
          </w:p>
        </w:tc>
        <w:tc>
          <w:tcPr>
            <w:tcW w:w="1205" w:type="pct"/>
            <w:vMerge w:val="restart"/>
            <w:noWrap w:val="0"/>
            <w:vAlign w:val="center"/>
          </w:tcPr>
          <w:p w14:paraId="51312DE8">
            <w:pPr>
              <w:spacing w:line="36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Cs w:val="21"/>
                <w:highlight w:val="none"/>
              </w:rPr>
              <w:t>工频电场强度、工频磁感应强度</w:t>
            </w:r>
          </w:p>
        </w:tc>
      </w:tr>
      <w:tr w14:paraId="141A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40CC6347">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lang w:val="en-US" w:eastAsia="zh-CN"/>
              </w:rPr>
              <w:t>2</w:t>
            </w:r>
          </w:p>
        </w:tc>
        <w:tc>
          <w:tcPr>
            <w:tcW w:w="3199" w:type="pct"/>
            <w:noWrap w:val="0"/>
            <w:vAlign w:val="center"/>
          </w:tcPr>
          <w:p w14:paraId="16CC2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w w:val="10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220kV升压站南侧围墙外5m处</w:t>
            </w:r>
          </w:p>
        </w:tc>
        <w:tc>
          <w:tcPr>
            <w:tcW w:w="1205" w:type="pct"/>
            <w:vMerge w:val="continue"/>
            <w:noWrap w:val="0"/>
            <w:vAlign w:val="top"/>
          </w:tcPr>
          <w:p w14:paraId="0D059D3B">
            <w:pPr>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p>
        </w:tc>
      </w:tr>
      <w:tr w14:paraId="596D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740E77DA">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w:t>
            </w:r>
          </w:p>
        </w:tc>
        <w:tc>
          <w:tcPr>
            <w:tcW w:w="3199" w:type="pct"/>
            <w:noWrap w:val="0"/>
            <w:vAlign w:val="center"/>
          </w:tcPr>
          <w:p w14:paraId="703979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w w:val="10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220kV升压站西侧围墙外5m处</w:t>
            </w:r>
          </w:p>
        </w:tc>
        <w:tc>
          <w:tcPr>
            <w:tcW w:w="1205" w:type="pct"/>
            <w:vMerge w:val="continue"/>
            <w:noWrap w:val="0"/>
            <w:vAlign w:val="top"/>
          </w:tcPr>
          <w:p w14:paraId="5FF4B3C6">
            <w:pPr>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p>
        </w:tc>
      </w:tr>
      <w:tr w14:paraId="5A5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50225942">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w:t>
            </w:r>
          </w:p>
        </w:tc>
        <w:tc>
          <w:tcPr>
            <w:tcW w:w="3199" w:type="pct"/>
            <w:noWrap w:val="0"/>
            <w:vAlign w:val="center"/>
          </w:tcPr>
          <w:p w14:paraId="6E707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w w:val="10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220kV升压站北侧围墙外5m处</w:t>
            </w:r>
          </w:p>
        </w:tc>
        <w:tc>
          <w:tcPr>
            <w:tcW w:w="1205" w:type="pct"/>
            <w:vMerge w:val="continue"/>
            <w:noWrap w:val="0"/>
            <w:vAlign w:val="top"/>
          </w:tcPr>
          <w:p w14:paraId="52372326">
            <w:pPr>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p>
        </w:tc>
      </w:tr>
      <w:tr w14:paraId="4A01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94" w:type="pct"/>
            <w:gridSpan w:val="2"/>
            <w:noWrap w:val="0"/>
            <w:vAlign w:val="center"/>
          </w:tcPr>
          <w:p w14:paraId="626AF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w w:val="100"/>
                <w:kern w:val="0"/>
                <w:sz w:val="21"/>
                <w:szCs w:val="21"/>
                <w:highlight w:val="none"/>
                <w:lang w:val="en-US" w:eastAsia="zh-CN" w:bidi="ar-SA"/>
              </w:rPr>
            </w:pPr>
            <w:r>
              <w:rPr>
                <w:rFonts w:hint="default" w:ascii="Times New Roman" w:hAnsi="Times New Roman" w:eastAsia="宋体" w:cs="Times New Roman"/>
                <w:b/>
                <w:bCs w:val="0"/>
                <w:color w:val="auto"/>
                <w:spacing w:val="0"/>
                <w:w w:val="100"/>
                <w:kern w:val="0"/>
                <w:sz w:val="21"/>
                <w:szCs w:val="21"/>
                <w:highlight w:val="none"/>
                <w:lang w:val="en-US" w:eastAsia="zh-CN" w:bidi="ar-SA"/>
              </w:rPr>
              <w:t>电磁环境断面监测</w:t>
            </w:r>
          </w:p>
        </w:tc>
        <w:tc>
          <w:tcPr>
            <w:tcW w:w="1205" w:type="pct"/>
            <w:vMerge w:val="continue"/>
            <w:noWrap w:val="0"/>
            <w:vAlign w:val="top"/>
          </w:tcPr>
          <w:p w14:paraId="2FD82E56">
            <w:pPr>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p>
        </w:tc>
      </w:tr>
      <w:tr w14:paraId="5C6C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shd w:val="clear" w:color="auto" w:fill="auto"/>
            <w:noWrap w:val="0"/>
            <w:vAlign w:val="center"/>
          </w:tcPr>
          <w:p w14:paraId="44A5C5C6">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color w:val="auto"/>
                <w:sz w:val="21"/>
                <w:szCs w:val="21"/>
                <w:highlight w:val="none"/>
                <w:lang w:val="en-US" w:eastAsia="zh-CN"/>
              </w:rPr>
              <w:t>5</w:t>
            </w:r>
          </w:p>
        </w:tc>
        <w:tc>
          <w:tcPr>
            <w:tcW w:w="3199" w:type="pct"/>
            <w:noWrap w:val="0"/>
            <w:vAlign w:val="center"/>
          </w:tcPr>
          <w:p w14:paraId="216A083A">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w w:val="10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220kV升压站西南侧围墙外1m处</w:t>
            </w:r>
          </w:p>
        </w:tc>
        <w:tc>
          <w:tcPr>
            <w:tcW w:w="1205" w:type="pct"/>
            <w:vMerge w:val="continue"/>
            <w:noWrap w:val="0"/>
            <w:vAlign w:val="top"/>
          </w:tcPr>
          <w:p w14:paraId="4790001F">
            <w:pPr>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p>
        </w:tc>
      </w:tr>
      <w:tr w14:paraId="299F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94" w:type="pct"/>
            <w:shd w:val="clear" w:color="auto" w:fill="auto"/>
            <w:noWrap w:val="0"/>
            <w:vAlign w:val="center"/>
          </w:tcPr>
          <w:p w14:paraId="5EAB292E">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color w:val="auto"/>
                <w:sz w:val="21"/>
                <w:szCs w:val="21"/>
                <w:highlight w:val="none"/>
                <w:lang w:val="en-US" w:eastAsia="zh-CN"/>
              </w:rPr>
              <w:t>6</w:t>
            </w:r>
          </w:p>
        </w:tc>
        <w:tc>
          <w:tcPr>
            <w:tcW w:w="3199" w:type="pct"/>
            <w:noWrap w:val="0"/>
            <w:vAlign w:val="center"/>
          </w:tcPr>
          <w:p w14:paraId="41EF4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220kV升压站西南侧围墙外5m处</w:t>
            </w:r>
          </w:p>
        </w:tc>
        <w:tc>
          <w:tcPr>
            <w:tcW w:w="1205" w:type="pct"/>
            <w:vMerge w:val="continue"/>
            <w:noWrap w:val="0"/>
            <w:vAlign w:val="center"/>
          </w:tcPr>
          <w:p w14:paraId="7047149B">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37FF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4" w:type="pct"/>
            <w:shd w:val="clear" w:color="auto" w:fill="auto"/>
            <w:noWrap w:val="0"/>
            <w:vAlign w:val="center"/>
          </w:tcPr>
          <w:p w14:paraId="41207E31">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color w:val="auto"/>
                <w:sz w:val="21"/>
                <w:szCs w:val="21"/>
                <w:highlight w:val="none"/>
                <w:lang w:val="en-US" w:eastAsia="zh-CN"/>
              </w:rPr>
              <w:t>7</w:t>
            </w:r>
          </w:p>
        </w:tc>
        <w:tc>
          <w:tcPr>
            <w:tcW w:w="3199" w:type="pct"/>
            <w:noWrap w:val="0"/>
            <w:vAlign w:val="center"/>
          </w:tcPr>
          <w:p w14:paraId="3315D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220kV升压站西南侧围墙外9m处</w:t>
            </w:r>
          </w:p>
        </w:tc>
        <w:tc>
          <w:tcPr>
            <w:tcW w:w="1205" w:type="pct"/>
            <w:vMerge w:val="continue"/>
            <w:noWrap w:val="0"/>
            <w:vAlign w:val="center"/>
          </w:tcPr>
          <w:p w14:paraId="72CEEBE5">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58BB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4" w:type="pct"/>
            <w:shd w:val="clear" w:color="auto" w:fill="auto"/>
            <w:noWrap w:val="0"/>
            <w:vAlign w:val="center"/>
          </w:tcPr>
          <w:p w14:paraId="2FC96B4B">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color w:val="auto"/>
                <w:sz w:val="21"/>
                <w:szCs w:val="21"/>
                <w:highlight w:val="none"/>
                <w:lang w:val="en-US" w:eastAsia="zh-CN"/>
              </w:rPr>
              <w:t>8</w:t>
            </w:r>
          </w:p>
        </w:tc>
        <w:tc>
          <w:tcPr>
            <w:tcW w:w="3199" w:type="pct"/>
            <w:noWrap w:val="0"/>
            <w:vAlign w:val="center"/>
          </w:tcPr>
          <w:p w14:paraId="58340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220kV升压站西南侧围墙外10m处</w:t>
            </w:r>
          </w:p>
        </w:tc>
        <w:tc>
          <w:tcPr>
            <w:tcW w:w="1205" w:type="pct"/>
            <w:vMerge w:val="continue"/>
            <w:noWrap w:val="0"/>
            <w:vAlign w:val="center"/>
          </w:tcPr>
          <w:p w14:paraId="6DCF45C7">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37B2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4" w:type="pct"/>
            <w:shd w:val="clear" w:color="auto" w:fill="auto"/>
            <w:noWrap w:val="0"/>
            <w:vAlign w:val="center"/>
          </w:tcPr>
          <w:p w14:paraId="4767B9FC">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9</w:t>
            </w:r>
          </w:p>
        </w:tc>
        <w:tc>
          <w:tcPr>
            <w:tcW w:w="3199" w:type="pct"/>
            <w:noWrap w:val="0"/>
            <w:vAlign w:val="center"/>
          </w:tcPr>
          <w:p w14:paraId="5A4288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0"/>
                <w:sz w:val="21"/>
                <w:szCs w:val="21"/>
                <w:highlight w:val="none"/>
                <w:lang w:val="en-US" w:eastAsia="zh-CN" w:bidi="ar-SA"/>
              </w:rPr>
              <w:t>220kV升压站西南侧围墙外11m处</w:t>
            </w:r>
          </w:p>
        </w:tc>
        <w:tc>
          <w:tcPr>
            <w:tcW w:w="1205" w:type="pct"/>
            <w:vMerge w:val="continue"/>
            <w:noWrap w:val="0"/>
            <w:vAlign w:val="center"/>
          </w:tcPr>
          <w:p w14:paraId="397AAE63">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2A47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4" w:type="pct"/>
            <w:shd w:val="clear" w:color="auto" w:fill="auto"/>
            <w:noWrap w:val="0"/>
            <w:vAlign w:val="center"/>
          </w:tcPr>
          <w:p w14:paraId="0A03E41E">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lang w:val="en-US" w:eastAsia="zh-CN" w:bidi="ar-SA"/>
              </w:rPr>
              <w:t>10</w:t>
            </w:r>
          </w:p>
        </w:tc>
        <w:tc>
          <w:tcPr>
            <w:tcW w:w="3199" w:type="pct"/>
            <w:noWrap w:val="0"/>
            <w:vAlign w:val="center"/>
          </w:tcPr>
          <w:p w14:paraId="752E8B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220kV升压站西南侧围墙外15m处</w:t>
            </w:r>
          </w:p>
        </w:tc>
        <w:tc>
          <w:tcPr>
            <w:tcW w:w="1205" w:type="pct"/>
            <w:vMerge w:val="continue"/>
            <w:noWrap w:val="0"/>
            <w:vAlign w:val="center"/>
          </w:tcPr>
          <w:p w14:paraId="37679F0D">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0053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79A41F5A">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11</w:t>
            </w:r>
          </w:p>
        </w:tc>
        <w:tc>
          <w:tcPr>
            <w:tcW w:w="3199" w:type="pct"/>
            <w:noWrap w:val="0"/>
            <w:vAlign w:val="center"/>
          </w:tcPr>
          <w:p w14:paraId="404A0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220kV升压站西南侧围墙外20m处</w:t>
            </w:r>
          </w:p>
        </w:tc>
        <w:tc>
          <w:tcPr>
            <w:tcW w:w="1205" w:type="pct"/>
            <w:vMerge w:val="continue"/>
            <w:noWrap w:val="0"/>
            <w:vAlign w:val="center"/>
          </w:tcPr>
          <w:p w14:paraId="398D2EAD">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1122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3810A745">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12</w:t>
            </w:r>
          </w:p>
        </w:tc>
        <w:tc>
          <w:tcPr>
            <w:tcW w:w="3199" w:type="pct"/>
            <w:noWrap w:val="0"/>
            <w:vAlign w:val="center"/>
          </w:tcPr>
          <w:p w14:paraId="078B2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220kV升压站西南侧围墙外25m处</w:t>
            </w:r>
          </w:p>
        </w:tc>
        <w:tc>
          <w:tcPr>
            <w:tcW w:w="1205" w:type="pct"/>
            <w:vMerge w:val="continue"/>
            <w:noWrap w:val="0"/>
            <w:vAlign w:val="center"/>
          </w:tcPr>
          <w:p w14:paraId="5BD39982">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0E80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470F77A9">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13</w:t>
            </w:r>
          </w:p>
        </w:tc>
        <w:tc>
          <w:tcPr>
            <w:tcW w:w="3199" w:type="pct"/>
            <w:noWrap w:val="0"/>
            <w:vAlign w:val="center"/>
          </w:tcPr>
          <w:p w14:paraId="14D57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220kV升压站西南侧围墙外30m处</w:t>
            </w:r>
          </w:p>
        </w:tc>
        <w:tc>
          <w:tcPr>
            <w:tcW w:w="1205" w:type="pct"/>
            <w:vMerge w:val="continue"/>
            <w:noWrap w:val="0"/>
            <w:vAlign w:val="center"/>
          </w:tcPr>
          <w:p w14:paraId="5F776CE0">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5703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94" w:type="pct"/>
            <w:noWrap w:val="0"/>
            <w:vAlign w:val="center"/>
          </w:tcPr>
          <w:p w14:paraId="71FCFA58">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14</w:t>
            </w:r>
          </w:p>
        </w:tc>
        <w:tc>
          <w:tcPr>
            <w:tcW w:w="3199" w:type="pct"/>
            <w:noWrap w:val="0"/>
            <w:vAlign w:val="center"/>
          </w:tcPr>
          <w:p w14:paraId="105912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220kV升压站西南侧围墙外35m处</w:t>
            </w:r>
          </w:p>
        </w:tc>
        <w:tc>
          <w:tcPr>
            <w:tcW w:w="1205" w:type="pct"/>
            <w:vMerge w:val="continue"/>
            <w:noWrap w:val="0"/>
            <w:vAlign w:val="center"/>
          </w:tcPr>
          <w:p w14:paraId="5B4E0300">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5F2D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94" w:type="pct"/>
            <w:noWrap w:val="0"/>
            <w:vAlign w:val="center"/>
          </w:tcPr>
          <w:p w14:paraId="0746E972">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15</w:t>
            </w:r>
          </w:p>
        </w:tc>
        <w:tc>
          <w:tcPr>
            <w:tcW w:w="3199" w:type="pct"/>
            <w:noWrap w:val="0"/>
            <w:vAlign w:val="center"/>
          </w:tcPr>
          <w:p w14:paraId="51323D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220kV升压站西南侧围墙外40m处</w:t>
            </w:r>
          </w:p>
        </w:tc>
        <w:tc>
          <w:tcPr>
            <w:tcW w:w="1205" w:type="pct"/>
            <w:vMerge w:val="continue"/>
            <w:noWrap w:val="0"/>
            <w:vAlign w:val="center"/>
          </w:tcPr>
          <w:p w14:paraId="6B000BD8">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0AB7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94" w:type="pct"/>
            <w:noWrap w:val="0"/>
            <w:vAlign w:val="center"/>
          </w:tcPr>
          <w:p w14:paraId="235DA3BB">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16</w:t>
            </w:r>
          </w:p>
        </w:tc>
        <w:tc>
          <w:tcPr>
            <w:tcW w:w="3199" w:type="pct"/>
            <w:noWrap w:val="0"/>
            <w:vAlign w:val="center"/>
          </w:tcPr>
          <w:p w14:paraId="5C437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220kV升压站西南侧围墙外45m处</w:t>
            </w:r>
          </w:p>
        </w:tc>
        <w:tc>
          <w:tcPr>
            <w:tcW w:w="1205" w:type="pct"/>
            <w:vMerge w:val="continue"/>
            <w:noWrap w:val="0"/>
            <w:vAlign w:val="center"/>
          </w:tcPr>
          <w:p w14:paraId="7DCF35C2">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r w14:paraId="6927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94" w:type="pct"/>
            <w:noWrap w:val="0"/>
            <w:vAlign w:val="center"/>
          </w:tcPr>
          <w:p w14:paraId="518BC8C3">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w:t>
            </w:r>
          </w:p>
        </w:tc>
        <w:tc>
          <w:tcPr>
            <w:tcW w:w="3199" w:type="pct"/>
            <w:noWrap w:val="0"/>
            <w:vAlign w:val="center"/>
          </w:tcPr>
          <w:p w14:paraId="2998C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bidi="ar-SA"/>
              </w:rPr>
            </w:pPr>
            <w:r>
              <w:rPr>
                <w:rFonts w:hint="default" w:ascii="Times New Roman" w:hAnsi="Times New Roman" w:eastAsia="宋体" w:cs="Times New Roman"/>
                <w:b w:val="0"/>
                <w:bCs/>
                <w:color w:val="auto"/>
                <w:spacing w:val="0"/>
                <w:kern w:val="0"/>
                <w:sz w:val="21"/>
                <w:szCs w:val="21"/>
                <w:highlight w:val="none"/>
                <w:lang w:val="en-US" w:eastAsia="zh-CN" w:bidi="ar-SA"/>
              </w:rPr>
              <w:t>220kV升压站西南侧围墙外50m处</w:t>
            </w:r>
          </w:p>
        </w:tc>
        <w:tc>
          <w:tcPr>
            <w:tcW w:w="1205" w:type="pct"/>
            <w:vMerge w:val="continue"/>
            <w:noWrap w:val="0"/>
            <w:vAlign w:val="center"/>
          </w:tcPr>
          <w:p w14:paraId="7FD2A6B9">
            <w:pPr>
              <w:pStyle w:val="47"/>
              <w:keepNext w:val="0"/>
              <w:keepLines w:val="0"/>
              <w:pageBreakBefore w:val="0"/>
              <w:widowControl w:val="0"/>
              <w:tabs>
                <w:tab w:val="left" w:pos="90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highlight w:val="none"/>
                <w:lang w:eastAsia="zh-CN"/>
              </w:rPr>
            </w:pPr>
          </w:p>
        </w:tc>
      </w:tr>
    </w:tbl>
    <w:p w14:paraId="12D3CF71">
      <w:pPr>
        <w:spacing w:line="360" w:lineRule="auto"/>
        <w:outlineLvl w:val="2"/>
        <w:rPr>
          <w:rFonts w:hint="default" w:ascii="Times New Roman" w:hAnsi="Times New Roman" w:eastAsia="宋体" w:cs="Times New Roman"/>
          <w:b/>
          <w:bCs/>
          <w:color w:val="auto"/>
          <w:sz w:val="24"/>
          <w:highlight w:val="none"/>
        </w:rPr>
      </w:pPr>
      <w:bookmarkStart w:id="339" w:name="_Toc23833"/>
      <w:r>
        <w:rPr>
          <w:rFonts w:hint="default" w:ascii="Times New Roman" w:hAnsi="Times New Roman" w:eastAsia="宋体" w:cs="Times New Roman"/>
          <w:b/>
          <w:bCs/>
          <w:color w:val="auto"/>
          <w:sz w:val="24"/>
          <w:highlight w:val="none"/>
        </w:rPr>
        <w:t>4.2监测仪器状况及气象条件</w:t>
      </w:r>
      <w:bookmarkEnd w:id="339"/>
    </w:p>
    <w:p w14:paraId="46F870DF">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本次环境影响评价阶段，建设单位于2024年10月12日委托云南科环环境工程咨询有限公司对升压站进行了电磁环境监测</w:t>
      </w:r>
      <w:r>
        <w:rPr>
          <w:rFonts w:hint="default" w:ascii="Times New Roman" w:hAnsi="Times New Roman" w:eastAsia="宋体" w:cs="Times New Roman"/>
          <w:color w:val="auto"/>
          <w:sz w:val="24"/>
          <w:highlight w:val="none"/>
        </w:rPr>
        <w:t>，监测仪器状况见表4-2、气象条件见表4-3。</w:t>
      </w:r>
      <w:r>
        <w:rPr>
          <w:rFonts w:hint="default" w:ascii="Times New Roman" w:hAnsi="Times New Roman" w:eastAsia="宋体" w:cs="Times New Roman"/>
          <w:color w:val="auto"/>
          <w:sz w:val="24"/>
          <w:highlight w:val="none"/>
          <w:lang w:eastAsia="zh-CN"/>
        </w:rPr>
        <w:t>云南科环环境工程咨询有限公司</w:t>
      </w:r>
      <w:r>
        <w:rPr>
          <w:rFonts w:hint="default" w:ascii="Times New Roman" w:hAnsi="Times New Roman" w:eastAsia="宋体" w:cs="Times New Roman"/>
          <w:color w:val="auto"/>
          <w:sz w:val="24"/>
          <w:szCs w:val="28"/>
          <w:highlight w:val="none"/>
        </w:rPr>
        <w:t>已具备监测资质，其资质认定计量认证证书编号为172516180004，详见附件1</w:t>
      </w:r>
      <w:r>
        <w:rPr>
          <w:rFonts w:hint="default" w:ascii="Times New Roman" w:hAnsi="Times New Roman" w:eastAsia="宋体"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rPr>
        <w:t>中现状监测报告。</w:t>
      </w:r>
    </w:p>
    <w:p w14:paraId="3EDDFF48">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表4-2   监测仪器状况</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140"/>
        <w:gridCol w:w="915"/>
        <w:gridCol w:w="1189"/>
        <w:gridCol w:w="1429"/>
        <w:gridCol w:w="1191"/>
        <w:gridCol w:w="1668"/>
      </w:tblGrid>
      <w:tr w14:paraId="7431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noWrap w:val="0"/>
            <w:vAlign w:val="center"/>
          </w:tcPr>
          <w:p w14:paraId="25E1CC4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w:t>
            </w:r>
          </w:p>
          <w:p w14:paraId="4EB40CB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69" w:type="pct"/>
            <w:noWrap w:val="0"/>
            <w:vAlign w:val="center"/>
          </w:tcPr>
          <w:p w14:paraId="30EADDF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537" w:type="pct"/>
            <w:noWrap w:val="0"/>
            <w:vAlign w:val="center"/>
          </w:tcPr>
          <w:p w14:paraId="0E7BEF5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仪器编号</w:t>
            </w:r>
          </w:p>
        </w:tc>
        <w:tc>
          <w:tcPr>
            <w:tcW w:w="698" w:type="pct"/>
            <w:noWrap w:val="0"/>
            <w:vAlign w:val="center"/>
          </w:tcPr>
          <w:p w14:paraId="2660B6C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测量</w:t>
            </w:r>
          </w:p>
          <w:p w14:paraId="1A6D3DC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范围</w:t>
            </w:r>
          </w:p>
        </w:tc>
        <w:tc>
          <w:tcPr>
            <w:tcW w:w="838" w:type="pct"/>
            <w:noWrap w:val="0"/>
            <w:vAlign w:val="center"/>
          </w:tcPr>
          <w:p w14:paraId="1888B76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检/校有效期</w:t>
            </w:r>
          </w:p>
        </w:tc>
        <w:tc>
          <w:tcPr>
            <w:tcW w:w="699" w:type="pct"/>
            <w:noWrap w:val="0"/>
            <w:vAlign w:val="center"/>
          </w:tcPr>
          <w:p w14:paraId="41ECCBA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证书编号</w:t>
            </w:r>
          </w:p>
        </w:tc>
        <w:tc>
          <w:tcPr>
            <w:tcW w:w="979" w:type="pct"/>
            <w:noWrap w:val="0"/>
            <w:vAlign w:val="center"/>
          </w:tcPr>
          <w:p w14:paraId="72E6222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检/校单位</w:t>
            </w:r>
          </w:p>
        </w:tc>
      </w:tr>
      <w:tr w14:paraId="7E58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noWrap w:val="0"/>
            <w:vAlign w:val="center"/>
          </w:tcPr>
          <w:p w14:paraId="6E0E2B0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电磁辐射分析仪</w:t>
            </w:r>
          </w:p>
        </w:tc>
        <w:tc>
          <w:tcPr>
            <w:tcW w:w="669" w:type="pct"/>
            <w:vMerge w:val="restart"/>
            <w:noWrap w:val="0"/>
            <w:vAlign w:val="center"/>
          </w:tcPr>
          <w:p w14:paraId="57C29EC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LF-01D&amp;SEM-600</w:t>
            </w:r>
          </w:p>
        </w:tc>
        <w:tc>
          <w:tcPr>
            <w:tcW w:w="537" w:type="pct"/>
            <w:vMerge w:val="restart"/>
            <w:noWrap w:val="0"/>
            <w:vAlign w:val="center"/>
          </w:tcPr>
          <w:p w14:paraId="30672AB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KH-0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5</w:t>
            </w:r>
          </w:p>
        </w:tc>
        <w:tc>
          <w:tcPr>
            <w:tcW w:w="698" w:type="pct"/>
            <w:noWrap w:val="0"/>
            <w:vAlign w:val="center"/>
          </w:tcPr>
          <w:p w14:paraId="2D9052B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0.01V/m-100KV/m</w:t>
            </w:r>
          </w:p>
        </w:tc>
        <w:tc>
          <w:tcPr>
            <w:tcW w:w="838" w:type="pct"/>
            <w:noWrap w:val="0"/>
            <w:vAlign w:val="center"/>
          </w:tcPr>
          <w:p w14:paraId="7330884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电场：202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年06月</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日</w:t>
            </w:r>
          </w:p>
        </w:tc>
        <w:tc>
          <w:tcPr>
            <w:tcW w:w="699" w:type="pct"/>
            <w:noWrap w:val="0"/>
            <w:vAlign w:val="center"/>
          </w:tcPr>
          <w:p w14:paraId="477ADF9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JL2400890648</w:t>
            </w:r>
            <w:r>
              <w:rPr>
                <w:rFonts w:hint="default" w:ascii="Times New Roman" w:hAnsi="Times New Roman" w:eastAsia="宋体" w:cs="Times New Roman"/>
                <w:color w:val="auto"/>
                <w:sz w:val="21"/>
                <w:szCs w:val="21"/>
                <w:highlight w:val="none"/>
              </w:rPr>
              <w:t xml:space="preserve"> </w:t>
            </w:r>
          </w:p>
        </w:tc>
        <w:tc>
          <w:tcPr>
            <w:tcW w:w="979" w:type="pct"/>
            <w:vMerge w:val="restart"/>
            <w:noWrap w:val="0"/>
            <w:vAlign w:val="center"/>
          </w:tcPr>
          <w:p w14:paraId="51C9799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深圳市</w:t>
            </w:r>
            <w:r>
              <w:rPr>
                <w:rFonts w:hint="default" w:ascii="Times New Roman" w:hAnsi="Times New Roman" w:eastAsia="宋体" w:cs="Times New Roman"/>
                <w:color w:val="auto"/>
                <w:sz w:val="21"/>
                <w:szCs w:val="21"/>
                <w:highlight w:val="none"/>
              </w:rPr>
              <w:t>计量</w:t>
            </w:r>
            <w:r>
              <w:rPr>
                <w:rFonts w:hint="default" w:ascii="Times New Roman" w:hAnsi="Times New Roman" w:eastAsia="宋体" w:cs="Times New Roman"/>
                <w:color w:val="auto"/>
                <w:sz w:val="21"/>
                <w:szCs w:val="21"/>
                <w:highlight w:val="none"/>
                <w:lang w:val="en-US" w:eastAsia="zh-CN"/>
              </w:rPr>
              <w:t>质量检测</w:t>
            </w:r>
            <w:r>
              <w:rPr>
                <w:rFonts w:hint="default" w:ascii="Times New Roman" w:hAnsi="Times New Roman" w:eastAsia="宋体" w:cs="Times New Roman"/>
                <w:color w:val="auto"/>
                <w:sz w:val="21"/>
                <w:szCs w:val="21"/>
                <w:highlight w:val="none"/>
              </w:rPr>
              <w:t>研究院</w:t>
            </w:r>
          </w:p>
        </w:tc>
      </w:tr>
      <w:tr w14:paraId="686B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noWrap w:val="0"/>
            <w:vAlign w:val="center"/>
          </w:tcPr>
          <w:p w14:paraId="1DDEE5A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669" w:type="pct"/>
            <w:vMerge w:val="continue"/>
            <w:noWrap w:val="0"/>
            <w:vAlign w:val="center"/>
          </w:tcPr>
          <w:p w14:paraId="3FBF0E2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537" w:type="pct"/>
            <w:vMerge w:val="continue"/>
            <w:noWrap w:val="0"/>
            <w:vAlign w:val="center"/>
          </w:tcPr>
          <w:p w14:paraId="4A46AD3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698" w:type="pct"/>
            <w:noWrap w:val="0"/>
            <w:vAlign w:val="center"/>
          </w:tcPr>
          <w:p w14:paraId="668D81E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1nT-10mT</w:t>
            </w:r>
          </w:p>
        </w:tc>
        <w:tc>
          <w:tcPr>
            <w:tcW w:w="838" w:type="pct"/>
            <w:noWrap w:val="0"/>
            <w:vAlign w:val="center"/>
          </w:tcPr>
          <w:p w14:paraId="211D5CA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磁场：202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年06月</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日</w:t>
            </w:r>
          </w:p>
        </w:tc>
        <w:tc>
          <w:tcPr>
            <w:tcW w:w="699" w:type="pct"/>
            <w:noWrap w:val="0"/>
            <w:vAlign w:val="center"/>
          </w:tcPr>
          <w:p w14:paraId="49D9434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JL2400890648</w:t>
            </w:r>
            <w:r>
              <w:rPr>
                <w:rFonts w:hint="default" w:ascii="Times New Roman" w:hAnsi="Times New Roman" w:eastAsia="宋体" w:cs="Times New Roman"/>
                <w:color w:val="auto"/>
                <w:sz w:val="21"/>
                <w:szCs w:val="21"/>
                <w:highlight w:val="none"/>
              </w:rPr>
              <w:t xml:space="preserve"> </w:t>
            </w:r>
          </w:p>
        </w:tc>
        <w:tc>
          <w:tcPr>
            <w:tcW w:w="979" w:type="pct"/>
            <w:vMerge w:val="continue"/>
            <w:noWrap w:val="0"/>
            <w:vAlign w:val="center"/>
          </w:tcPr>
          <w:p w14:paraId="5BF4A47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r>
    </w:tbl>
    <w:p w14:paraId="20F9146B">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表4-3  220kV升压站监测期间气象条件</w:t>
      </w:r>
    </w:p>
    <w:tbl>
      <w:tblPr>
        <w:tblStyle w:val="49"/>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635"/>
        <w:gridCol w:w="1563"/>
        <w:gridCol w:w="1507"/>
        <w:gridCol w:w="1155"/>
        <w:gridCol w:w="1279"/>
      </w:tblGrid>
      <w:tr w14:paraId="7509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58" w:type="pct"/>
            <w:tcBorders>
              <w:top w:val="single" w:color="auto" w:sz="4" w:space="0"/>
              <w:left w:val="single" w:color="auto" w:sz="4" w:space="0"/>
              <w:bottom w:val="single" w:color="auto" w:sz="4" w:space="0"/>
              <w:right w:val="single" w:color="auto" w:sz="4" w:space="0"/>
            </w:tcBorders>
            <w:noWrap w:val="0"/>
            <w:vAlign w:val="center"/>
          </w:tcPr>
          <w:p w14:paraId="25970810">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天 气</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33F4AFBB">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温度（℃）</w:t>
            </w:r>
          </w:p>
        </w:tc>
        <w:tc>
          <w:tcPr>
            <w:tcW w:w="928" w:type="pct"/>
            <w:tcBorders>
              <w:top w:val="single" w:color="auto" w:sz="4" w:space="0"/>
              <w:left w:val="single" w:color="auto" w:sz="4" w:space="0"/>
              <w:bottom w:val="single" w:color="auto" w:sz="4" w:space="0"/>
              <w:right w:val="single" w:color="auto" w:sz="4" w:space="0"/>
            </w:tcBorders>
            <w:noWrap w:val="0"/>
            <w:vAlign w:val="center"/>
          </w:tcPr>
          <w:p w14:paraId="2CDE460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湿度（RH%）</w:t>
            </w:r>
          </w:p>
        </w:tc>
        <w:tc>
          <w:tcPr>
            <w:tcW w:w="895" w:type="pct"/>
            <w:tcBorders>
              <w:top w:val="single" w:color="auto" w:sz="4" w:space="0"/>
              <w:left w:val="single" w:color="auto" w:sz="4" w:space="0"/>
              <w:bottom w:val="single" w:color="auto" w:sz="4" w:space="0"/>
              <w:right w:val="single" w:color="auto" w:sz="4" w:space="0"/>
            </w:tcBorders>
            <w:noWrap w:val="0"/>
            <w:vAlign w:val="center"/>
          </w:tcPr>
          <w:p w14:paraId="19C26801">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大气压</w:t>
            </w:r>
            <w:r>
              <w:rPr>
                <w:rFonts w:hint="default" w:ascii="Times New Roman" w:hAnsi="Times New Roman" w:eastAsia="宋体" w:cs="Times New Roman"/>
                <w:b/>
                <w:bCs/>
                <w:color w:val="auto"/>
                <w:szCs w:val="21"/>
                <w:highlight w:val="none"/>
                <w:lang w:eastAsia="zh-CN"/>
              </w:rPr>
              <w:t>（kPa）</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1AF5BA8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风向</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18D85712">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风速（</w:t>
            </w:r>
            <w:r>
              <w:rPr>
                <w:rFonts w:hint="default" w:ascii="Times New Roman" w:hAnsi="Times New Roman" w:eastAsia="宋体" w:cs="Times New Roman"/>
                <w:b/>
                <w:bCs/>
                <w:color w:val="auto"/>
                <w:szCs w:val="21"/>
                <w:highlight w:val="none"/>
              </w:rPr>
              <w:t>m/s</w:t>
            </w:r>
            <w:r>
              <w:rPr>
                <w:rFonts w:hint="default" w:ascii="Times New Roman" w:hAnsi="Times New Roman" w:eastAsia="宋体" w:cs="Times New Roman"/>
                <w:b/>
                <w:bCs/>
                <w:color w:val="auto"/>
                <w:szCs w:val="21"/>
                <w:highlight w:val="none"/>
                <w:lang w:eastAsia="zh-CN"/>
              </w:rPr>
              <w:t>）</w:t>
            </w:r>
          </w:p>
        </w:tc>
      </w:tr>
      <w:tr w14:paraId="1D43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8" w:type="pct"/>
            <w:tcBorders>
              <w:top w:val="single" w:color="auto" w:sz="4" w:space="0"/>
              <w:left w:val="single" w:color="auto" w:sz="4" w:space="0"/>
              <w:bottom w:val="single" w:color="auto" w:sz="4" w:space="0"/>
              <w:right w:val="single" w:color="auto" w:sz="4" w:space="0"/>
            </w:tcBorders>
            <w:noWrap w:val="0"/>
            <w:vAlign w:val="center"/>
          </w:tcPr>
          <w:p w14:paraId="6BC6025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晴</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0A90525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23.0-33.4</w:t>
            </w:r>
          </w:p>
        </w:tc>
        <w:tc>
          <w:tcPr>
            <w:tcW w:w="928" w:type="pct"/>
            <w:tcBorders>
              <w:top w:val="single" w:color="auto" w:sz="4" w:space="0"/>
              <w:left w:val="single" w:color="auto" w:sz="4" w:space="0"/>
              <w:bottom w:val="single" w:color="auto" w:sz="4" w:space="0"/>
              <w:right w:val="single" w:color="auto" w:sz="4" w:space="0"/>
            </w:tcBorders>
            <w:noWrap w:val="0"/>
            <w:vAlign w:val="center"/>
          </w:tcPr>
          <w:p w14:paraId="22C9BF1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38-64</w:t>
            </w:r>
          </w:p>
        </w:tc>
        <w:tc>
          <w:tcPr>
            <w:tcW w:w="895" w:type="pct"/>
            <w:tcBorders>
              <w:top w:val="single" w:color="auto" w:sz="4" w:space="0"/>
              <w:left w:val="single" w:color="auto" w:sz="4" w:space="0"/>
              <w:bottom w:val="single" w:color="auto" w:sz="4" w:space="0"/>
              <w:right w:val="single" w:color="auto" w:sz="4" w:space="0"/>
            </w:tcBorders>
            <w:noWrap w:val="0"/>
            <w:vAlign w:val="center"/>
          </w:tcPr>
          <w:p w14:paraId="22DD80F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90.2-90.8</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7D7ED764">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西南</w:t>
            </w:r>
            <w:r>
              <w:rPr>
                <w:rFonts w:hint="default" w:ascii="Times New Roman" w:hAnsi="Times New Roman" w:eastAsia="宋体" w:cs="Times New Roman"/>
                <w:color w:val="auto"/>
                <w:highlight w:val="none"/>
                <w:lang w:eastAsia="zh-CN"/>
              </w:rPr>
              <w:t>风</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5C443FA5">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pacing w:val="-5"/>
                <w:sz w:val="24"/>
                <w:highlight w:val="none"/>
                <w:lang w:val="en-US" w:eastAsia="zh-CN" w:bidi="he-IL"/>
              </w:rPr>
              <w:t>0.9-1.7</w:t>
            </w:r>
          </w:p>
        </w:tc>
      </w:tr>
    </w:tbl>
    <w:p w14:paraId="0CF8C957">
      <w:pPr>
        <w:spacing w:line="360" w:lineRule="auto"/>
        <w:outlineLvl w:val="2"/>
        <w:rPr>
          <w:rFonts w:hint="default" w:ascii="Times New Roman" w:hAnsi="Times New Roman" w:eastAsia="宋体" w:cs="Times New Roman"/>
          <w:b/>
          <w:bCs/>
          <w:color w:val="auto"/>
          <w:sz w:val="24"/>
          <w:highlight w:val="none"/>
        </w:rPr>
      </w:pPr>
      <w:bookmarkStart w:id="340" w:name="_Toc2664"/>
      <w:r>
        <w:rPr>
          <w:rFonts w:hint="default" w:ascii="Times New Roman" w:hAnsi="Times New Roman" w:eastAsia="宋体" w:cs="Times New Roman"/>
          <w:b/>
          <w:bCs/>
          <w:color w:val="auto"/>
          <w:sz w:val="24"/>
          <w:highlight w:val="none"/>
        </w:rPr>
        <w:t>4.3电磁环境现状监测结果</w:t>
      </w:r>
      <w:bookmarkEnd w:id="340"/>
    </w:p>
    <w:p w14:paraId="31BD39C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根据《</w:t>
      </w:r>
      <w:r>
        <w:rPr>
          <w:rFonts w:hint="eastAsia" w:cs="Times New Roman"/>
          <w:color w:val="auto"/>
          <w:kern w:val="0"/>
          <w:sz w:val="24"/>
          <w:highlight w:val="none"/>
          <w:lang w:eastAsia="zh-CN"/>
        </w:rPr>
        <w:t>岩子头生态修复光伏电站220kV升压站</w:t>
      </w:r>
      <w:r>
        <w:rPr>
          <w:rFonts w:hint="default" w:ascii="Times New Roman" w:hAnsi="Times New Roman" w:eastAsia="宋体" w:cs="Times New Roman"/>
          <w:color w:val="auto"/>
          <w:kern w:val="0"/>
          <w:sz w:val="24"/>
          <w:highlight w:val="none"/>
        </w:rPr>
        <w:t>电磁环境、声环境现状监测辐射环境监测报告》（详见附件1</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本次监测分别在</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rPr>
        <w:t>站址周围设置了4个监测点位，</w:t>
      </w:r>
      <w:r>
        <w:rPr>
          <w:rFonts w:hint="default" w:ascii="Times New Roman" w:hAnsi="Times New Roman" w:eastAsia="宋体" w:cs="Times New Roman"/>
          <w:color w:val="auto"/>
          <w:sz w:val="24"/>
          <w:highlight w:val="none"/>
          <w:lang w:val="en-US" w:eastAsia="zh-CN"/>
        </w:rPr>
        <w:t>同时于</w:t>
      </w:r>
      <w:r>
        <w:rPr>
          <w:rFonts w:hint="default" w:ascii="Times New Roman" w:hAnsi="Times New Roman" w:eastAsia="宋体" w:cs="Times New Roman"/>
          <w:color w:val="auto"/>
          <w:sz w:val="24"/>
          <w:szCs w:val="24"/>
          <w:highlight w:val="none"/>
          <w:lang w:val="en-US" w:eastAsia="zh-CN"/>
        </w:rPr>
        <w:t>站址西南侧围墙外设置了1个断面监测点，</w:t>
      </w:r>
      <w:r>
        <w:rPr>
          <w:rFonts w:hint="default" w:ascii="Times New Roman" w:hAnsi="Times New Roman" w:eastAsia="宋体" w:cs="Times New Roman"/>
          <w:color w:val="auto"/>
          <w:sz w:val="24"/>
          <w:highlight w:val="none"/>
        </w:rPr>
        <w:t>监测布点图见附图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，监测结果见表4-4。</w:t>
      </w:r>
    </w:p>
    <w:p w14:paraId="5B5FC33A">
      <w:pPr>
        <w:pStyle w:val="327"/>
        <w:adjustRightInd/>
        <w:snapToGrid/>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表4-4   电磁环境现状检测结果一览表</w:t>
      </w:r>
    </w:p>
    <w:tbl>
      <w:tblPr>
        <w:tblStyle w:val="50"/>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3449"/>
        <w:gridCol w:w="1437"/>
        <w:gridCol w:w="1375"/>
        <w:gridCol w:w="1381"/>
      </w:tblGrid>
      <w:tr w14:paraId="16FF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73" w:type="pct"/>
            <w:vMerge w:val="restart"/>
            <w:vAlign w:val="center"/>
          </w:tcPr>
          <w:p w14:paraId="33C73BFE">
            <w:pPr>
              <w:widowControl/>
              <w:adjustRightInd w:val="0"/>
              <w:snapToGrid w:val="0"/>
              <w:spacing w:line="30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88" w:type="pct"/>
            <w:vMerge w:val="restart"/>
            <w:vAlign w:val="center"/>
          </w:tcPr>
          <w:p w14:paraId="69EF3B4D">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检测点位置</w:t>
            </w:r>
          </w:p>
        </w:tc>
        <w:tc>
          <w:tcPr>
            <w:tcW w:w="869" w:type="pct"/>
            <w:vMerge w:val="restart"/>
            <w:vAlign w:val="center"/>
          </w:tcPr>
          <w:p w14:paraId="670204E9">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668" w:type="pct"/>
            <w:gridSpan w:val="2"/>
            <w:vAlign w:val="center"/>
          </w:tcPr>
          <w:p w14:paraId="3171C47B">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eastAsia="zh-CN" w:bidi="ar"/>
              </w:rPr>
              <w:t>检</w:t>
            </w:r>
            <w:r>
              <w:rPr>
                <w:rFonts w:hint="default" w:ascii="Times New Roman" w:hAnsi="Times New Roman" w:eastAsia="宋体" w:cs="Times New Roman"/>
                <w:b/>
                <w:bCs/>
                <w:color w:val="auto"/>
                <w:kern w:val="0"/>
                <w:sz w:val="21"/>
                <w:szCs w:val="21"/>
                <w:highlight w:val="none"/>
                <w:lang w:bidi="ar"/>
              </w:rPr>
              <w:t>测结果</w:t>
            </w:r>
          </w:p>
        </w:tc>
      </w:tr>
      <w:tr w14:paraId="5B1A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373" w:type="pct"/>
            <w:vMerge w:val="continue"/>
            <w:vAlign w:val="center"/>
          </w:tcPr>
          <w:p w14:paraId="652DA9F9">
            <w:pPr>
              <w:widowControl/>
              <w:adjustRightInd w:val="0"/>
              <w:snapToGrid w:val="0"/>
              <w:spacing w:line="300" w:lineRule="auto"/>
              <w:jc w:val="center"/>
              <w:rPr>
                <w:rFonts w:hint="default" w:ascii="Times New Roman" w:hAnsi="Times New Roman" w:eastAsia="宋体" w:cs="Times New Roman"/>
                <w:color w:val="auto"/>
                <w:sz w:val="21"/>
                <w:szCs w:val="21"/>
                <w:highlight w:val="none"/>
              </w:rPr>
            </w:pPr>
          </w:p>
        </w:tc>
        <w:tc>
          <w:tcPr>
            <w:tcW w:w="2088" w:type="pct"/>
            <w:vMerge w:val="continue"/>
            <w:vAlign w:val="center"/>
          </w:tcPr>
          <w:p w14:paraId="7AA4FAA5">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p>
        </w:tc>
        <w:tc>
          <w:tcPr>
            <w:tcW w:w="869" w:type="pct"/>
            <w:vMerge w:val="continue"/>
            <w:vAlign w:val="center"/>
          </w:tcPr>
          <w:p w14:paraId="3D7CB366">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p>
        </w:tc>
        <w:tc>
          <w:tcPr>
            <w:tcW w:w="832" w:type="pct"/>
            <w:vAlign w:val="center"/>
          </w:tcPr>
          <w:p w14:paraId="4A3974E8">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工频电场强度（V/m）</w:t>
            </w:r>
          </w:p>
        </w:tc>
        <w:tc>
          <w:tcPr>
            <w:tcW w:w="836" w:type="pct"/>
            <w:vAlign w:val="center"/>
          </w:tcPr>
          <w:p w14:paraId="7008ECC9">
            <w:pPr>
              <w:widowControl/>
              <w:adjustRightInd w:val="0"/>
              <w:snapToGrid w:val="0"/>
              <w:spacing w:line="30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工频磁感应强度（μT）</w:t>
            </w:r>
          </w:p>
        </w:tc>
      </w:tr>
      <w:tr w14:paraId="00ED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5000" w:type="pct"/>
            <w:gridSpan w:val="5"/>
            <w:vAlign w:val="center"/>
          </w:tcPr>
          <w:p w14:paraId="4BB28C50">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升压站站外5m处电/磁场场监测</w:t>
            </w:r>
          </w:p>
        </w:tc>
      </w:tr>
      <w:tr w14:paraId="7D4B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vAlign w:val="center"/>
          </w:tcPr>
          <w:p w14:paraId="619987F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w:t>
            </w:r>
          </w:p>
        </w:tc>
        <w:tc>
          <w:tcPr>
            <w:tcW w:w="2088" w:type="pct"/>
            <w:vAlign w:val="center"/>
          </w:tcPr>
          <w:p w14:paraId="7095A2C3">
            <w:pPr>
              <w:pStyle w:val="47"/>
              <w:keepNext w:val="0"/>
              <w:keepLines w:val="0"/>
              <w:pageBreakBefore w:val="0"/>
              <w:widowControl w:val="0"/>
              <w:tabs>
                <w:tab w:val="left" w:pos="900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220kV升压站东侧围墙外5m处</w:t>
            </w:r>
          </w:p>
        </w:tc>
        <w:tc>
          <w:tcPr>
            <w:tcW w:w="869" w:type="pct"/>
            <w:vAlign w:val="center"/>
          </w:tcPr>
          <w:p w14:paraId="45CF378B">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2024.10.12</w:t>
            </w:r>
          </w:p>
        </w:tc>
        <w:tc>
          <w:tcPr>
            <w:tcW w:w="832" w:type="pct"/>
            <w:vAlign w:val="center"/>
          </w:tcPr>
          <w:p w14:paraId="37F2884F">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3544.4</w:t>
            </w:r>
          </w:p>
        </w:tc>
        <w:tc>
          <w:tcPr>
            <w:tcW w:w="836" w:type="pct"/>
            <w:vAlign w:val="center"/>
          </w:tcPr>
          <w:p w14:paraId="48559BBC">
            <w:pPr>
              <w:pStyle w:val="47"/>
              <w:pageBreakBefore w:val="0"/>
              <w:widowControl w:val="0"/>
              <w:tabs>
                <w:tab w:val="left" w:pos="9000"/>
              </w:tabs>
              <w:kinsoku/>
              <w:wordWrap/>
              <w:overflowPunct/>
              <w:topLinePunct w:val="0"/>
              <w:autoSpaceDE w:val="0"/>
              <w:autoSpaceDN w:val="0"/>
              <w:bidi w:val="0"/>
              <w:adjustRightInd w:val="0"/>
              <w:snapToGrid/>
              <w:spacing w:before="0" w:after="0"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bCs/>
                <w:color w:val="auto"/>
                <w:spacing w:val="0"/>
                <w:w w:val="100"/>
                <w:kern w:val="2"/>
                <w:sz w:val="21"/>
                <w:szCs w:val="21"/>
                <w:highlight w:val="none"/>
                <w:lang w:val="en-US" w:eastAsia="zh-CN" w:bidi="ar-SA"/>
              </w:rPr>
              <w:t>0.1758</w:t>
            </w:r>
          </w:p>
        </w:tc>
      </w:tr>
      <w:tr w14:paraId="13E7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2E74E5E3">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w:t>
            </w:r>
          </w:p>
        </w:tc>
        <w:tc>
          <w:tcPr>
            <w:tcW w:w="2088" w:type="pct"/>
            <w:shd w:val="clear" w:color="auto" w:fill="auto"/>
            <w:vAlign w:val="center"/>
          </w:tcPr>
          <w:p w14:paraId="288F0D0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220kV升压站南侧围墙外5m处</w:t>
            </w:r>
          </w:p>
        </w:tc>
        <w:tc>
          <w:tcPr>
            <w:tcW w:w="869" w:type="pct"/>
            <w:vAlign w:val="center"/>
          </w:tcPr>
          <w:p w14:paraId="7C837E93">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10AE23A9">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69.09</w:t>
            </w:r>
          </w:p>
        </w:tc>
        <w:tc>
          <w:tcPr>
            <w:tcW w:w="836" w:type="pct"/>
            <w:vAlign w:val="center"/>
          </w:tcPr>
          <w:p w14:paraId="7E5EF3F0">
            <w:pPr>
              <w:pStyle w:val="47"/>
              <w:pageBreakBefore w:val="0"/>
              <w:widowControl w:val="0"/>
              <w:tabs>
                <w:tab w:val="left" w:pos="9000"/>
              </w:tabs>
              <w:kinsoku/>
              <w:wordWrap/>
              <w:overflowPunct/>
              <w:topLinePunct w:val="0"/>
              <w:autoSpaceDE w:val="0"/>
              <w:autoSpaceDN w:val="0"/>
              <w:bidi w:val="0"/>
              <w:adjustRightInd w:val="0"/>
              <w:snapToGrid/>
              <w:spacing w:before="0" w:after="0"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0.0898</w:t>
            </w:r>
          </w:p>
        </w:tc>
      </w:tr>
      <w:tr w14:paraId="0319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55285CE4">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3</w:t>
            </w:r>
          </w:p>
        </w:tc>
        <w:tc>
          <w:tcPr>
            <w:tcW w:w="2088" w:type="pct"/>
            <w:shd w:val="clear" w:color="auto" w:fill="auto"/>
            <w:vAlign w:val="center"/>
          </w:tcPr>
          <w:p w14:paraId="352DCD47">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220kV升压站西侧围墙外5m处</w:t>
            </w:r>
          </w:p>
        </w:tc>
        <w:tc>
          <w:tcPr>
            <w:tcW w:w="869" w:type="pct"/>
            <w:vAlign w:val="center"/>
          </w:tcPr>
          <w:p w14:paraId="1E019687">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108347C">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8.998</w:t>
            </w:r>
          </w:p>
        </w:tc>
        <w:tc>
          <w:tcPr>
            <w:tcW w:w="836" w:type="pct"/>
            <w:vAlign w:val="center"/>
          </w:tcPr>
          <w:p w14:paraId="53B88BBC">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0.0887</w:t>
            </w:r>
          </w:p>
        </w:tc>
      </w:tr>
      <w:tr w14:paraId="615C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38757F07">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4</w:t>
            </w:r>
          </w:p>
        </w:tc>
        <w:tc>
          <w:tcPr>
            <w:tcW w:w="2088" w:type="pct"/>
            <w:shd w:val="clear" w:color="auto" w:fill="auto"/>
            <w:vAlign w:val="center"/>
          </w:tcPr>
          <w:p w14:paraId="614C1B6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220kV升压站北侧围墙外5m处</w:t>
            </w:r>
          </w:p>
        </w:tc>
        <w:tc>
          <w:tcPr>
            <w:tcW w:w="869" w:type="pct"/>
            <w:vAlign w:val="center"/>
          </w:tcPr>
          <w:p w14:paraId="22339200">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F591B5D">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12.94</w:t>
            </w:r>
          </w:p>
        </w:tc>
        <w:tc>
          <w:tcPr>
            <w:tcW w:w="836" w:type="pct"/>
            <w:vAlign w:val="center"/>
          </w:tcPr>
          <w:p w14:paraId="7C6A8C59">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0.0946</w:t>
            </w:r>
          </w:p>
        </w:tc>
      </w:tr>
      <w:tr w14:paraId="3824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5000" w:type="pct"/>
            <w:gridSpan w:val="5"/>
            <w:shd w:val="clear" w:color="auto" w:fill="auto"/>
            <w:vAlign w:val="center"/>
          </w:tcPr>
          <w:p w14:paraId="5EF1D006">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升压站西南侧电/磁场断面监测</w:t>
            </w:r>
          </w:p>
        </w:tc>
      </w:tr>
      <w:tr w14:paraId="1B05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373" w:type="pct"/>
            <w:shd w:val="clear" w:color="auto" w:fill="auto"/>
            <w:vAlign w:val="center"/>
          </w:tcPr>
          <w:p w14:paraId="25B832BD">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5</w:t>
            </w:r>
          </w:p>
        </w:tc>
        <w:tc>
          <w:tcPr>
            <w:tcW w:w="2088" w:type="pct"/>
            <w:shd w:val="clear" w:color="auto" w:fill="auto"/>
            <w:vAlign w:val="center"/>
          </w:tcPr>
          <w:p w14:paraId="6B068A59">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220kV升压站西南侧围墙外1m处</w:t>
            </w:r>
          </w:p>
        </w:tc>
        <w:tc>
          <w:tcPr>
            <w:tcW w:w="869" w:type="pct"/>
            <w:vAlign w:val="center"/>
          </w:tcPr>
          <w:p w14:paraId="098B132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124C845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13.20</w:t>
            </w:r>
          </w:p>
        </w:tc>
        <w:tc>
          <w:tcPr>
            <w:tcW w:w="836" w:type="pct"/>
            <w:vAlign w:val="center"/>
          </w:tcPr>
          <w:p w14:paraId="67145AB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0.0948</w:t>
            </w:r>
          </w:p>
        </w:tc>
      </w:tr>
      <w:tr w14:paraId="5AB0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609ED86D">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w:t>
            </w:r>
          </w:p>
        </w:tc>
        <w:tc>
          <w:tcPr>
            <w:tcW w:w="2088" w:type="pct"/>
            <w:shd w:val="clear" w:color="auto" w:fill="auto"/>
            <w:vAlign w:val="center"/>
          </w:tcPr>
          <w:p w14:paraId="73619D4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220kV升压站西南侧围墙外5m处</w:t>
            </w:r>
          </w:p>
        </w:tc>
        <w:tc>
          <w:tcPr>
            <w:tcW w:w="869" w:type="pct"/>
            <w:vAlign w:val="center"/>
          </w:tcPr>
          <w:p w14:paraId="64C6326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583DF7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15.17</w:t>
            </w:r>
          </w:p>
        </w:tc>
        <w:tc>
          <w:tcPr>
            <w:tcW w:w="836" w:type="pct"/>
            <w:vAlign w:val="center"/>
          </w:tcPr>
          <w:p w14:paraId="050F83A7">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0.0945</w:t>
            </w:r>
          </w:p>
        </w:tc>
      </w:tr>
      <w:tr w14:paraId="697C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2F1850B5">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7</w:t>
            </w:r>
          </w:p>
        </w:tc>
        <w:tc>
          <w:tcPr>
            <w:tcW w:w="2088" w:type="pct"/>
            <w:shd w:val="clear" w:color="auto" w:fill="auto"/>
            <w:vAlign w:val="center"/>
          </w:tcPr>
          <w:p w14:paraId="2CAFF05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220kV升压站西南侧围墙外9m处</w:t>
            </w:r>
          </w:p>
        </w:tc>
        <w:tc>
          <w:tcPr>
            <w:tcW w:w="869" w:type="pct"/>
            <w:vAlign w:val="center"/>
          </w:tcPr>
          <w:p w14:paraId="4B06395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84D736E">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15.19</w:t>
            </w:r>
          </w:p>
        </w:tc>
        <w:tc>
          <w:tcPr>
            <w:tcW w:w="836" w:type="pct"/>
            <w:vAlign w:val="center"/>
          </w:tcPr>
          <w:p w14:paraId="5F692FD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0.0949</w:t>
            </w:r>
          </w:p>
        </w:tc>
      </w:tr>
      <w:tr w14:paraId="6C6B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47D8C4C">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8</w:t>
            </w:r>
          </w:p>
        </w:tc>
        <w:tc>
          <w:tcPr>
            <w:tcW w:w="2088" w:type="pct"/>
            <w:shd w:val="clear" w:color="auto" w:fill="auto"/>
            <w:vAlign w:val="center"/>
          </w:tcPr>
          <w:p w14:paraId="69F7BA2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220kV升压站西南侧围墙外10m处</w:t>
            </w:r>
          </w:p>
        </w:tc>
        <w:tc>
          <w:tcPr>
            <w:tcW w:w="869" w:type="pct"/>
            <w:vAlign w:val="center"/>
          </w:tcPr>
          <w:p w14:paraId="1F4F5B3E">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0548C04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15.21</w:t>
            </w:r>
          </w:p>
        </w:tc>
        <w:tc>
          <w:tcPr>
            <w:tcW w:w="836" w:type="pct"/>
            <w:vAlign w:val="center"/>
          </w:tcPr>
          <w:p w14:paraId="450E537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0.0954</w:t>
            </w:r>
          </w:p>
        </w:tc>
      </w:tr>
      <w:tr w14:paraId="7020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18E9A9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9</w:t>
            </w:r>
          </w:p>
        </w:tc>
        <w:tc>
          <w:tcPr>
            <w:tcW w:w="2088" w:type="pct"/>
            <w:shd w:val="clear" w:color="auto" w:fill="auto"/>
            <w:vAlign w:val="center"/>
          </w:tcPr>
          <w:p w14:paraId="5566DD4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220kV升压站西南侧围墙外11m处</w:t>
            </w:r>
          </w:p>
        </w:tc>
        <w:tc>
          <w:tcPr>
            <w:tcW w:w="869" w:type="pct"/>
            <w:vAlign w:val="center"/>
          </w:tcPr>
          <w:p w14:paraId="6AB7718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0D2B8A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15.14</w:t>
            </w:r>
          </w:p>
        </w:tc>
        <w:tc>
          <w:tcPr>
            <w:tcW w:w="836" w:type="pct"/>
            <w:vAlign w:val="center"/>
          </w:tcPr>
          <w:p w14:paraId="6556DB4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0.0948</w:t>
            </w:r>
          </w:p>
        </w:tc>
      </w:tr>
      <w:tr w14:paraId="01BB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12088A21">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10</w:t>
            </w:r>
          </w:p>
        </w:tc>
        <w:tc>
          <w:tcPr>
            <w:tcW w:w="2088" w:type="pct"/>
            <w:shd w:val="clear" w:color="auto" w:fill="auto"/>
            <w:vAlign w:val="center"/>
          </w:tcPr>
          <w:p w14:paraId="55F3BA4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220kV升压站西南侧围墙外15m处</w:t>
            </w:r>
          </w:p>
        </w:tc>
        <w:tc>
          <w:tcPr>
            <w:tcW w:w="869" w:type="pct"/>
            <w:vAlign w:val="center"/>
          </w:tcPr>
          <w:p w14:paraId="7998B83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F2BEDD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14.61</w:t>
            </w:r>
          </w:p>
        </w:tc>
        <w:tc>
          <w:tcPr>
            <w:tcW w:w="836" w:type="pct"/>
            <w:vAlign w:val="center"/>
          </w:tcPr>
          <w:p w14:paraId="1513E8F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0.0946</w:t>
            </w:r>
          </w:p>
        </w:tc>
      </w:tr>
      <w:tr w14:paraId="3397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264262FD">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w:t>
            </w:r>
          </w:p>
        </w:tc>
        <w:tc>
          <w:tcPr>
            <w:tcW w:w="2088" w:type="pct"/>
            <w:shd w:val="clear" w:color="auto" w:fill="auto"/>
            <w:vAlign w:val="center"/>
          </w:tcPr>
          <w:p w14:paraId="53F7DDB0">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220kV升压站西南侧围墙外20m处</w:t>
            </w:r>
          </w:p>
        </w:tc>
        <w:tc>
          <w:tcPr>
            <w:tcW w:w="869" w:type="pct"/>
            <w:vAlign w:val="center"/>
          </w:tcPr>
          <w:p w14:paraId="18D7D78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43BCC72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13.73</w:t>
            </w:r>
          </w:p>
        </w:tc>
        <w:tc>
          <w:tcPr>
            <w:tcW w:w="836" w:type="pct"/>
            <w:vAlign w:val="center"/>
          </w:tcPr>
          <w:p w14:paraId="2A6E6537">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0.0950</w:t>
            </w:r>
          </w:p>
        </w:tc>
      </w:tr>
      <w:tr w14:paraId="5B8E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09B0158F">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12</w:t>
            </w:r>
          </w:p>
        </w:tc>
        <w:tc>
          <w:tcPr>
            <w:tcW w:w="2088" w:type="pct"/>
            <w:shd w:val="clear" w:color="auto" w:fill="auto"/>
            <w:vAlign w:val="center"/>
          </w:tcPr>
          <w:p w14:paraId="43D7847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220kV升压站西南侧围墙外25m处</w:t>
            </w:r>
          </w:p>
        </w:tc>
        <w:tc>
          <w:tcPr>
            <w:tcW w:w="869" w:type="pct"/>
            <w:vAlign w:val="center"/>
          </w:tcPr>
          <w:p w14:paraId="4913E73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E1E7E7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11.60</w:t>
            </w:r>
          </w:p>
        </w:tc>
        <w:tc>
          <w:tcPr>
            <w:tcW w:w="836" w:type="pct"/>
            <w:vAlign w:val="center"/>
          </w:tcPr>
          <w:p w14:paraId="2191F62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0.0944</w:t>
            </w:r>
          </w:p>
        </w:tc>
      </w:tr>
      <w:tr w14:paraId="0946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1970CDE">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w:t>
            </w:r>
          </w:p>
        </w:tc>
        <w:tc>
          <w:tcPr>
            <w:tcW w:w="2088" w:type="pct"/>
            <w:shd w:val="clear" w:color="auto" w:fill="auto"/>
            <w:vAlign w:val="center"/>
          </w:tcPr>
          <w:p w14:paraId="18DE232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220kV升压站西南侧围墙外30m处</w:t>
            </w:r>
          </w:p>
        </w:tc>
        <w:tc>
          <w:tcPr>
            <w:tcW w:w="869" w:type="pct"/>
            <w:vAlign w:val="center"/>
          </w:tcPr>
          <w:p w14:paraId="5FF742E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5387AE8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11.03</w:t>
            </w:r>
          </w:p>
        </w:tc>
        <w:tc>
          <w:tcPr>
            <w:tcW w:w="836" w:type="pct"/>
            <w:vAlign w:val="center"/>
          </w:tcPr>
          <w:p w14:paraId="74EF16C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0.0944</w:t>
            </w:r>
          </w:p>
        </w:tc>
      </w:tr>
      <w:tr w14:paraId="53E2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70A7273F">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14</w:t>
            </w:r>
          </w:p>
        </w:tc>
        <w:tc>
          <w:tcPr>
            <w:tcW w:w="2088" w:type="pct"/>
            <w:shd w:val="clear" w:color="auto" w:fill="auto"/>
            <w:vAlign w:val="center"/>
          </w:tcPr>
          <w:p w14:paraId="4D2090F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220kV升压站西南侧围墙外35m处</w:t>
            </w:r>
          </w:p>
        </w:tc>
        <w:tc>
          <w:tcPr>
            <w:tcW w:w="869" w:type="pct"/>
            <w:vAlign w:val="center"/>
          </w:tcPr>
          <w:p w14:paraId="07E19D9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297584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7.866</w:t>
            </w:r>
          </w:p>
        </w:tc>
        <w:tc>
          <w:tcPr>
            <w:tcW w:w="836" w:type="pct"/>
            <w:vAlign w:val="center"/>
          </w:tcPr>
          <w:p w14:paraId="04A9928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0.0950</w:t>
            </w:r>
          </w:p>
        </w:tc>
      </w:tr>
      <w:tr w14:paraId="2D26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5D03F011">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w:t>
            </w:r>
          </w:p>
        </w:tc>
        <w:tc>
          <w:tcPr>
            <w:tcW w:w="2088" w:type="pct"/>
            <w:shd w:val="clear" w:color="auto" w:fill="auto"/>
            <w:vAlign w:val="center"/>
          </w:tcPr>
          <w:p w14:paraId="44A6FBC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220kV升压站西南侧围墙外40m处</w:t>
            </w:r>
          </w:p>
        </w:tc>
        <w:tc>
          <w:tcPr>
            <w:tcW w:w="869" w:type="pct"/>
            <w:vAlign w:val="center"/>
          </w:tcPr>
          <w:p w14:paraId="25C01D1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0976E32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6.860</w:t>
            </w:r>
          </w:p>
        </w:tc>
        <w:tc>
          <w:tcPr>
            <w:tcW w:w="836" w:type="pct"/>
            <w:vAlign w:val="center"/>
          </w:tcPr>
          <w:p w14:paraId="00B7C9F0">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0.0953</w:t>
            </w:r>
          </w:p>
        </w:tc>
      </w:tr>
      <w:tr w14:paraId="3E3C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11C9A792">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16</w:t>
            </w:r>
          </w:p>
        </w:tc>
        <w:tc>
          <w:tcPr>
            <w:tcW w:w="2088" w:type="pct"/>
            <w:shd w:val="clear" w:color="auto" w:fill="auto"/>
            <w:vAlign w:val="center"/>
          </w:tcPr>
          <w:p w14:paraId="1177C9C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220kV升压站西南侧围墙外45m处</w:t>
            </w:r>
          </w:p>
        </w:tc>
        <w:tc>
          <w:tcPr>
            <w:tcW w:w="869" w:type="pct"/>
            <w:vAlign w:val="center"/>
          </w:tcPr>
          <w:p w14:paraId="4A7D01F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A293A8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6.056</w:t>
            </w:r>
          </w:p>
        </w:tc>
        <w:tc>
          <w:tcPr>
            <w:tcW w:w="836" w:type="pct"/>
            <w:vAlign w:val="center"/>
          </w:tcPr>
          <w:p w14:paraId="791A855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0.0942</w:t>
            </w:r>
          </w:p>
        </w:tc>
      </w:tr>
      <w:tr w14:paraId="3E63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373" w:type="pct"/>
            <w:shd w:val="clear" w:color="auto" w:fill="auto"/>
            <w:vAlign w:val="center"/>
          </w:tcPr>
          <w:p w14:paraId="00F27438">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17</w:t>
            </w:r>
          </w:p>
        </w:tc>
        <w:tc>
          <w:tcPr>
            <w:tcW w:w="2088" w:type="pct"/>
            <w:shd w:val="clear" w:color="auto" w:fill="auto"/>
            <w:vAlign w:val="center"/>
          </w:tcPr>
          <w:p w14:paraId="72E0529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220kV升压站西南侧围墙外50m处</w:t>
            </w:r>
          </w:p>
        </w:tc>
        <w:tc>
          <w:tcPr>
            <w:tcW w:w="869" w:type="pct"/>
            <w:shd w:val="clear" w:color="auto" w:fill="auto"/>
            <w:vAlign w:val="center"/>
          </w:tcPr>
          <w:p w14:paraId="26E9970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shd w:val="clear" w:color="auto" w:fill="auto"/>
            <w:vAlign w:val="center"/>
          </w:tcPr>
          <w:p w14:paraId="57664AB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3.990</w:t>
            </w:r>
          </w:p>
        </w:tc>
        <w:tc>
          <w:tcPr>
            <w:tcW w:w="836" w:type="pct"/>
            <w:shd w:val="clear" w:color="auto" w:fill="auto"/>
            <w:vAlign w:val="center"/>
          </w:tcPr>
          <w:p w14:paraId="4D8917D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0.0913</w:t>
            </w:r>
          </w:p>
        </w:tc>
      </w:tr>
      <w:tr w14:paraId="4C94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3331" w:type="pct"/>
            <w:gridSpan w:val="3"/>
            <w:shd w:val="clear" w:color="auto" w:fill="auto"/>
            <w:vAlign w:val="center"/>
          </w:tcPr>
          <w:p w14:paraId="61F89D94">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评价标准</w:t>
            </w:r>
          </w:p>
        </w:tc>
        <w:tc>
          <w:tcPr>
            <w:tcW w:w="832" w:type="pct"/>
            <w:shd w:val="clear" w:color="auto" w:fill="auto"/>
            <w:vAlign w:val="center"/>
          </w:tcPr>
          <w:p w14:paraId="46EA73E7">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4000</w:t>
            </w:r>
          </w:p>
        </w:tc>
        <w:tc>
          <w:tcPr>
            <w:tcW w:w="836" w:type="pct"/>
            <w:shd w:val="clear" w:color="auto" w:fill="auto"/>
            <w:vAlign w:val="center"/>
          </w:tcPr>
          <w:p w14:paraId="560006CE">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100</w:t>
            </w:r>
          </w:p>
        </w:tc>
      </w:tr>
      <w:tr w14:paraId="7657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3331" w:type="pct"/>
            <w:gridSpan w:val="3"/>
            <w:shd w:val="clear" w:color="auto" w:fill="auto"/>
            <w:vAlign w:val="center"/>
          </w:tcPr>
          <w:p w14:paraId="02F93A09">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达标情况</w:t>
            </w:r>
          </w:p>
        </w:tc>
        <w:tc>
          <w:tcPr>
            <w:tcW w:w="832" w:type="pct"/>
            <w:shd w:val="clear" w:color="auto" w:fill="auto"/>
            <w:vAlign w:val="center"/>
          </w:tcPr>
          <w:p w14:paraId="22B495CA">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w:t>
            </w:r>
          </w:p>
        </w:tc>
        <w:tc>
          <w:tcPr>
            <w:tcW w:w="836" w:type="pct"/>
            <w:shd w:val="clear" w:color="auto" w:fill="auto"/>
            <w:vAlign w:val="center"/>
          </w:tcPr>
          <w:p w14:paraId="659B5CB4">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w:t>
            </w:r>
          </w:p>
        </w:tc>
      </w:tr>
    </w:tbl>
    <w:p w14:paraId="715779A1">
      <w:pPr>
        <w:pStyle w:val="298"/>
        <w:ind w:firstLine="480"/>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w:t>
      </w:r>
      <w:r>
        <w:rPr>
          <w:rFonts w:hint="default" w:ascii="Times New Roman" w:hAnsi="Times New Roman" w:eastAsia="宋体" w:cs="Times New Roman"/>
          <w:color w:val="auto"/>
          <w:spacing w:val="0"/>
          <w:highlight w:val="none"/>
          <w:lang w:val="en-US" w:eastAsia="zh-CN"/>
        </w:rPr>
        <w:t>结果分析</w:t>
      </w:r>
      <w:r>
        <w:rPr>
          <w:rFonts w:hint="default" w:ascii="Times New Roman" w:hAnsi="Times New Roman" w:eastAsia="宋体" w:cs="Times New Roman"/>
          <w:color w:val="auto"/>
          <w:spacing w:val="0"/>
          <w:highlight w:val="none"/>
        </w:rPr>
        <w:t>表明：本项目220kV升压站周围工频电场强度在</w:t>
      </w:r>
      <w:r>
        <w:rPr>
          <w:rFonts w:hint="default" w:ascii="Times New Roman" w:hAnsi="Times New Roman" w:eastAsia="宋体" w:cs="Times New Roman"/>
          <w:color w:val="auto"/>
          <w:sz w:val="24"/>
          <w:highlight w:val="none"/>
          <w:lang w:val="en-US" w:eastAsia="zh-CN"/>
        </w:rPr>
        <w:t>3.990~3544.4V/m之间，工频磁感应强度在</w:t>
      </w:r>
      <w:r>
        <w:rPr>
          <w:rFonts w:hint="default" w:ascii="Times New Roman" w:hAnsi="Times New Roman" w:eastAsia="宋体" w:cs="Times New Roman"/>
          <w:color w:val="auto"/>
          <w:sz w:val="24"/>
          <w:highlight w:val="none"/>
        </w:rPr>
        <w:t>0.</w:t>
      </w:r>
      <w:r>
        <w:rPr>
          <w:rFonts w:hint="default" w:ascii="Times New Roman" w:hAnsi="Times New Roman" w:eastAsia="宋体" w:cs="Times New Roman"/>
          <w:color w:val="auto"/>
          <w:sz w:val="24"/>
          <w:highlight w:val="none"/>
          <w:lang w:val="en-US" w:eastAsia="zh-CN"/>
        </w:rPr>
        <w:t>0887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0.1758µT之间</w:t>
      </w:r>
      <w:r>
        <w:rPr>
          <w:rFonts w:hint="default" w:ascii="Times New Roman" w:hAnsi="Times New Roman" w:eastAsia="宋体" w:cs="Times New Roman"/>
          <w:color w:val="auto"/>
          <w:spacing w:val="0"/>
          <w:highlight w:val="none"/>
        </w:rPr>
        <w:t>均低于《电磁环境控制限值》（GB8702-2014）中工频电场强度4000V/m、工频磁感应强度100μT的评价标准限值要求。</w:t>
      </w:r>
    </w:p>
    <w:p w14:paraId="02B5DFB4">
      <w:pPr>
        <w:pStyle w:val="298"/>
        <w:ind w:firstLine="480"/>
        <w:rPr>
          <w:rFonts w:hint="default" w:ascii="Times New Roman" w:hAnsi="Times New Roman" w:eastAsia="宋体" w:cs="Times New Roman"/>
          <w:color w:val="auto"/>
          <w:spacing w:val="0"/>
          <w:highlight w:val="none"/>
        </w:rPr>
      </w:pPr>
      <w:r>
        <w:rPr>
          <w:rFonts w:hint="default" w:ascii="Times New Roman" w:hAnsi="Times New Roman" w:eastAsia="宋体" w:cs="Times New Roman"/>
          <w:bCs/>
          <w:color w:val="auto"/>
          <w:spacing w:val="0"/>
          <w:highlight w:val="none"/>
        </w:rPr>
        <w:t>通过现场监测，本项目所在区域的工频电场强度和工频磁感应强度均满足相应评价标准的要求。</w:t>
      </w:r>
    </w:p>
    <w:p w14:paraId="747BB07D">
      <w:pPr>
        <w:pStyle w:val="113"/>
        <w:ind w:firstLine="480"/>
        <w:rPr>
          <w:rFonts w:hint="default" w:ascii="Times New Roman" w:hAnsi="Times New Roman" w:eastAsia="宋体" w:cs="Times New Roman"/>
          <w:color w:val="auto"/>
          <w:highlight w:val="none"/>
          <w:lang w:val="zh-CN"/>
        </w:rPr>
      </w:pPr>
    </w:p>
    <w:p w14:paraId="494F39D9">
      <w:pPr>
        <w:pStyle w:val="113"/>
        <w:ind w:firstLine="480"/>
        <w:rPr>
          <w:rFonts w:hint="default" w:ascii="Times New Roman" w:hAnsi="Times New Roman" w:eastAsia="宋体" w:cs="Times New Roman"/>
          <w:color w:val="auto"/>
          <w:highlight w:val="none"/>
          <w:lang w:val="zh-CN"/>
        </w:rPr>
      </w:pPr>
    </w:p>
    <w:p w14:paraId="1BBD80BA">
      <w:pPr>
        <w:pStyle w:val="113"/>
        <w:ind w:firstLine="0" w:firstLineChars="0"/>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049E4DB">
      <w:pPr>
        <w:spacing w:before="468" w:beforeLines="150" w:after="312" w:afterLines="100" w:line="360" w:lineRule="auto"/>
        <w:outlineLvl w:val="1"/>
        <w:rPr>
          <w:rFonts w:hint="default" w:ascii="Times New Roman" w:hAnsi="Times New Roman" w:eastAsia="宋体" w:cs="Times New Roman"/>
          <w:b/>
          <w:bCs/>
          <w:color w:val="auto"/>
          <w:sz w:val="32"/>
          <w:szCs w:val="32"/>
          <w:highlight w:val="none"/>
        </w:rPr>
      </w:pPr>
      <w:bookmarkStart w:id="341" w:name="_Toc19861"/>
      <w:r>
        <w:rPr>
          <w:rFonts w:hint="default" w:ascii="Times New Roman" w:hAnsi="Times New Roman" w:eastAsia="宋体" w:cs="Times New Roman"/>
          <w:b/>
          <w:bCs/>
          <w:color w:val="auto"/>
          <w:sz w:val="32"/>
          <w:szCs w:val="32"/>
          <w:highlight w:val="none"/>
        </w:rPr>
        <w:t>5、电磁环境影响预测与评价</w:t>
      </w:r>
      <w:bookmarkEnd w:id="341"/>
    </w:p>
    <w:p w14:paraId="19C9E09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本工程220kV升压站施工期没有电磁环境影响，</w:t>
      </w:r>
      <w:r>
        <w:rPr>
          <w:rFonts w:hint="default" w:ascii="Times New Roman" w:hAnsi="Times New Roman" w:eastAsia="宋体" w:cs="Times New Roman"/>
          <w:color w:val="auto"/>
          <w:sz w:val="24"/>
          <w:highlight w:val="none"/>
          <w:lang w:val="en-US" w:eastAsia="zh-CN"/>
        </w:rPr>
        <w:t>且</w:t>
      </w:r>
      <w:r>
        <w:rPr>
          <w:rFonts w:hint="default" w:ascii="Times New Roman" w:hAnsi="Times New Roman" w:eastAsia="宋体" w:cs="Times New Roman"/>
          <w:color w:val="auto"/>
          <w:sz w:val="24"/>
          <w:szCs w:val="22"/>
          <w:highlight w:val="none"/>
          <w:lang w:val="en-US" w:eastAsia="zh-CN"/>
        </w:rPr>
        <w:t>且根据现场调查，</w:t>
      </w:r>
      <w:r>
        <w:rPr>
          <w:rFonts w:hint="default" w:ascii="Times New Roman" w:hAnsi="Times New Roman" w:eastAsia="宋体" w:cs="Times New Roman"/>
          <w:color w:val="auto"/>
          <w:sz w:val="24"/>
          <w:szCs w:val="22"/>
          <w:highlight w:val="none"/>
          <w:u w:val="none"/>
          <w:lang w:val="en-US" w:eastAsia="zh-CN"/>
        </w:rPr>
        <w:t>升压站</w:t>
      </w:r>
      <w:r>
        <w:rPr>
          <w:rFonts w:hint="default" w:ascii="Times New Roman" w:hAnsi="Times New Roman" w:eastAsia="宋体" w:cs="Times New Roman"/>
          <w:color w:val="auto"/>
          <w:sz w:val="24"/>
          <w:szCs w:val="22"/>
          <w:highlight w:val="none"/>
          <w:lang w:val="en-US" w:eastAsia="zh-CN"/>
        </w:rPr>
        <w:t>施工期已结束，施工期环境影响已随着施工期的结束而消失，不存在环境遗留问题，项目施工期间未发生相关环保投诉事件</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运营期由于电流输送会产生电磁环境影响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电磁环境影响预测评价的因子为工频电场、工频磁场。</w:t>
      </w:r>
    </w:p>
    <w:p w14:paraId="1E0253D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bidi="ar"/>
        </w:rPr>
        <w:t>由于本项目升压站为已建成运营的升压站，</w:t>
      </w:r>
      <w:r>
        <w:rPr>
          <w:rFonts w:hint="default" w:ascii="Times New Roman" w:hAnsi="Times New Roman" w:eastAsia="宋体" w:cs="Times New Roman"/>
          <w:color w:val="auto"/>
          <w:sz w:val="24"/>
          <w:highlight w:val="none"/>
        </w:rPr>
        <w:t>本工程220kV升压站</w:t>
      </w:r>
      <w:r>
        <w:rPr>
          <w:rFonts w:hint="default" w:ascii="Times New Roman" w:hAnsi="Times New Roman" w:eastAsia="宋体" w:cs="Times New Roman"/>
          <w:color w:val="auto"/>
          <w:sz w:val="24"/>
          <w:highlight w:val="none"/>
          <w:lang w:val="en-US" w:eastAsia="zh-CN"/>
        </w:rPr>
        <w:t>运行</w:t>
      </w:r>
      <w:r>
        <w:rPr>
          <w:rFonts w:hint="default" w:ascii="Times New Roman" w:hAnsi="Times New Roman" w:eastAsia="宋体" w:cs="Times New Roman"/>
          <w:color w:val="auto"/>
          <w:sz w:val="24"/>
          <w:highlight w:val="none"/>
        </w:rPr>
        <w:t>产生的工频电场强度、工频磁感应强度影响预测</w:t>
      </w:r>
      <w:r>
        <w:rPr>
          <w:rFonts w:hint="default" w:ascii="Times New Roman" w:hAnsi="Times New Roman" w:eastAsia="宋体" w:cs="Times New Roman"/>
          <w:color w:val="auto"/>
          <w:sz w:val="24"/>
          <w:highlight w:val="none"/>
          <w:lang w:bidi="ar"/>
        </w:rPr>
        <w:t>采用</w:t>
      </w:r>
      <w:r>
        <w:rPr>
          <w:rFonts w:hint="default" w:ascii="Times New Roman" w:hAnsi="Times New Roman" w:eastAsia="宋体" w:cs="Times New Roman"/>
          <w:color w:val="auto"/>
          <w:sz w:val="24"/>
          <w:highlight w:val="none"/>
          <w:lang w:val="en-US" w:eastAsia="zh-CN" w:bidi="ar"/>
        </w:rPr>
        <w:t>实测</w:t>
      </w:r>
      <w:r>
        <w:rPr>
          <w:rFonts w:hint="default" w:ascii="Times New Roman" w:hAnsi="Times New Roman" w:eastAsia="宋体" w:cs="Times New Roman"/>
          <w:color w:val="auto"/>
          <w:sz w:val="24"/>
          <w:highlight w:val="none"/>
          <w:lang w:bidi="ar"/>
        </w:rPr>
        <w:t>的方式。</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已</w:t>
      </w:r>
      <w:r>
        <w:rPr>
          <w:rFonts w:hint="default" w:ascii="Times New Roman" w:hAnsi="Times New Roman" w:eastAsia="宋体" w:cs="Times New Roman"/>
          <w:color w:val="auto"/>
          <w:sz w:val="24"/>
          <w:highlight w:val="none"/>
        </w:rPr>
        <w:t>安装1台200MVA的主变，本次按照本期</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规模进行</w:t>
      </w:r>
      <w:r>
        <w:rPr>
          <w:rFonts w:hint="default" w:ascii="Times New Roman" w:hAnsi="Times New Roman" w:eastAsia="宋体" w:cs="Times New Roman"/>
          <w:color w:val="auto"/>
          <w:sz w:val="24"/>
          <w:highlight w:val="none"/>
          <w:lang w:val="en-US" w:eastAsia="zh-CN" w:bidi="ar"/>
        </w:rPr>
        <w:t>实测分析</w:t>
      </w:r>
      <w:r>
        <w:rPr>
          <w:rFonts w:hint="default" w:ascii="Times New Roman" w:hAnsi="Times New Roman" w:eastAsia="宋体" w:cs="Times New Roman"/>
          <w:color w:val="auto"/>
          <w:sz w:val="24"/>
          <w:highlight w:val="none"/>
        </w:rPr>
        <w:t>，即可说明本期规模电磁环境影响状况。</w:t>
      </w:r>
    </w:p>
    <w:p w14:paraId="78182354">
      <w:pPr>
        <w:widowControl/>
        <w:spacing w:line="360" w:lineRule="auto"/>
        <w:outlineLvl w:val="2"/>
        <w:rPr>
          <w:rFonts w:hint="default" w:ascii="Times New Roman" w:hAnsi="Times New Roman" w:eastAsia="宋体" w:cs="Times New Roman"/>
          <w:b/>
          <w:color w:val="auto"/>
          <w:highlight w:val="none"/>
        </w:rPr>
      </w:pPr>
      <w:bookmarkStart w:id="342" w:name="_Toc16757"/>
      <w:r>
        <w:rPr>
          <w:rFonts w:hint="default" w:ascii="Times New Roman" w:hAnsi="Times New Roman" w:eastAsia="宋体" w:cs="Times New Roman"/>
          <w:b/>
          <w:bCs/>
          <w:color w:val="auto"/>
          <w:sz w:val="24"/>
          <w:highlight w:val="none"/>
        </w:rPr>
        <w:t>5.1 评价因子</w:t>
      </w:r>
      <w:bookmarkEnd w:id="342"/>
    </w:p>
    <w:p w14:paraId="6EF88C6F">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220kV升压站的施工期没有电磁环境影响问题，</w:t>
      </w:r>
      <w:r>
        <w:rPr>
          <w:rFonts w:hint="default" w:ascii="Times New Roman" w:hAnsi="Times New Roman" w:eastAsia="宋体" w:cs="Times New Roman"/>
          <w:color w:val="auto"/>
          <w:sz w:val="24"/>
          <w:highlight w:val="none"/>
          <w:lang w:val="en-US" w:eastAsia="zh-CN"/>
        </w:rPr>
        <w:t>且施工期已结束；</w:t>
      </w:r>
      <w:r>
        <w:rPr>
          <w:rFonts w:hint="default" w:ascii="Times New Roman" w:hAnsi="Times New Roman" w:eastAsia="宋体" w:cs="Times New Roman"/>
          <w:color w:val="auto"/>
          <w:sz w:val="24"/>
          <w:highlight w:val="none"/>
        </w:rPr>
        <w:t>升压站运行期间的工频电场、工频磁场主要产生于主变、各配电装置（220kV、35kV配电装置）及电气设备（电容器组等设备）附近，建成投运后会产生电磁污染。因此电磁环境影响评价因子为工频电场、工频磁场。</w:t>
      </w:r>
    </w:p>
    <w:p w14:paraId="5A4FD145">
      <w:pPr>
        <w:widowControl/>
        <w:spacing w:line="360" w:lineRule="auto"/>
        <w:outlineLvl w:val="2"/>
        <w:rPr>
          <w:rFonts w:hint="default" w:ascii="Times New Roman" w:hAnsi="Times New Roman" w:eastAsia="宋体" w:cs="Times New Roman"/>
          <w:b/>
          <w:color w:val="auto"/>
          <w:highlight w:val="none"/>
        </w:rPr>
      </w:pPr>
      <w:bookmarkStart w:id="343" w:name="_Toc4492"/>
      <w:r>
        <w:rPr>
          <w:rFonts w:hint="default" w:ascii="Times New Roman" w:hAnsi="Times New Roman" w:eastAsia="宋体" w:cs="Times New Roman"/>
          <w:b/>
          <w:bCs/>
          <w:color w:val="auto"/>
          <w:sz w:val="24"/>
          <w:highlight w:val="none"/>
        </w:rPr>
        <w:t>5.2 评价方法</w:t>
      </w:r>
      <w:bookmarkEnd w:id="343"/>
    </w:p>
    <w:p w14:paraId="74879783">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bidi="ar"/>
        </w:rPr>
        <w:t>本工程220kV升压站电磁环境为二级评价，根据《环境影响评价技术导则 输变电》（HJ24-2020）中二级评价的基本要求：对于变电站、换流站、开关站、串补站，其评价范围内临近各侧站界的电磁环境敏感目标的电磁环境现状应实测，站界电磁环境现状可实测，也可利用已有的最近3年内的电磁环境现状监测资料，并对电磁环境现状进行评价。</w:t>
      </w:r>
      <w:r>
        <w:rPr>
          <w:rFonts w:hint="default" w:ascii="Times New Roman" w:hAnsi="Times New Roman" w:eastAsia="宋体" w:cs="Times New Roman"/>
          <w:color w:val="auto"/>
          <w:sz w:val="24"/>
          <w:highlight w:val="none"/>
        </w:rPr>
        <w:t>升压站</w:t>
      </w:r>
      <w:r>
        <w:rPr>
          <w:rFonts w:hint="default" w:ascii="Times New Roman" w:hAnsi="Times New Roman" w:eastAsia="宋体" w:cs="Times New Roman"/>
          <w:color w:val="auto"/>
          <w:sz w:val="24"/>
          <w:highlight w:val="none"/>
          <w:lang w:val="en-US" w:eastAsia="zh-CN"/>
        </w:rPr>
        <w:t>已</w:t>
      </w:r>
      <w:r>
        <w:rPr>
          <w:rFonts w:hint="default" w:ascii="Times New Roman" w:hAnsi="Times New Roman" w:eastAsia="宋体" w:cs="Times New Roman"/>
          <w:color w:val="auto"/>
          <w:sz w:val="24"/>
          <w:highlight w:val="none"/>
        </w:rPr>
        <w:t>安装1台200MVA的主变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bidi="ar"/>
        </w:rPr>
        <w:t>由于本项目升压站为已建成运营的升压站，</w:t>
      </w:r>
      <w:r>
        <w:rPr>
          <w:rFonts w:hint="default" w:ascii="Times New Roman" w:hAnsi="Times New Roman" w:eastAsia="宋体" w:cs="Times New Roman"/>
          <w:color w:val="auto"/>
          <w:sz w:val="24"/>
          <w:highlight w:val="none"/>
          <w:lang w:bidi="ar"/>
        </w:rPr>
        <w:t>电磁环境影响</w:t>
      </w:r>
      <w:r>
        <w:rPr>
          <w:rFonts w:hint="default" w:ascii="Times New Roman" w:hAnsi="Times New Roman" w:eastAsia="宋体" w:cs="Times New Roman"/>
          <w:color w:val="auto"/>
          <w:sz w:val="24"/>
          <w:highlight w:val="none"/>
          <w:lang w:val="en-US" w:eastAsia="zh-CN" w:bidi="ar"/>
        </w:rPr>
        <w:t>分析</w:t>
      </w:r>
      <w:r>
        <w:rPr>
          <w:rFonts w:hint="default" w:ascii="Times New Roman" w:hAnsi="Times New Roman" w:eastAsia="宋体" w:cs="Times New Roman"/>
          <w:color w:val="auto"/>
          <w:sz w:val="24"/>
          <w:highlight w:val="none"/>
          <w:lang w:bidi="ar"/>
        </w:rPr>
        <w:t>采用</w:t>
      </w:r>
      <w:r>
        <w:rPr>
          <w:rFonts w:hint="default" w:ascii="Times New Roman" w:hAnsi="Times New Roman" w:eastAsia="宋体" w:cs="Times New Roman"/>
          <w:color w:val="auto"/>
          <w:sz w:val="24"/>
          <w:highlight w:val="none"/>
          <w:lang w:val="en-US" w:eastAsia="zh-CN" w:bidi="ar"/>
        </w:rPr>
        <w:t>实测</w:t>
      </w:r>
      <w:r>
        <w:rPr>
          <w:rFonts w:hint="default" w:ascii="Times New Roman" w:hAnsi="Times New Roman" w:eastAsia="宋体" w:cs="Times New Roman"/>
          <w:color w:val="auto"/>
          <w:sz w:val="24"/>
          <w:highlight w:val="none"/>
          <w:lang w:bidi="ar"/>
        </w:rPr>
        <w:t>的方式</w:t>
      </w:r>
      <w:r>
        <w:rPr>
          <w:rFonts w:hint="default" w:ascii="Times New Roman" w:hAnsi="Times New Roman" w:eastAsia="宋体" w:cs="Times New Roman"/>
          <w:color w:val="auto"/>
          <w:sz w:val="24"/>
          <w:highlight w:val="none"/>
        </w:rPr>
        <w:t>，按本期</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规模评价。</w:t>
      </w:r>
    </w:p>
    <w:p w14:paraId="0BE47132">
      <w:pPr>
        <w:widowControl/>
        <w:spacing w:line="360" w:lineRule="auto"/>
        <w:outlineLvl w:val="2"/>
        <w:rPr>
          <w:rFonts w:hint="default" w:ascii="Times New Roman" w:hAnsi="Times New Roman" w:eastAsia="宋体" w:cs="Times New Roman"/>
          <w:b/>
          <w:color w:val="auto"/>
          <w:highlight w:val="none"/>
          <w:lang w:val="en-US" w:eastAsia="zh-CN"/>
        </w:rPr>
      </w:pPr>
      <w:bookmarkStart w:id="344" w:name="_Toc12881"/>
      <w:r>
        <w:rPr>
          <w:rFonts w:hint="default" w:ascii="Times New Roman" w:hAnsi="Times New Roman" w:eastAsia="宋体" w:cs="Times New Roman"/>
          <w:b/>
          <w:bCs/>
          <w:color w:val="auto"/>
          <w:sz w:val="24"/>
          <w:highlight w:val="none"/>
        </w:rPr>
        <w:t xml:space="preserve">5.3 </w:t>
      </w:r>
      <w:r>
        <w:rPr>
          <w:rFonts w:hint="default" w:ascii="Times New Roman" w:hAnsi="Times New Roman" w:eastAsia="宋体" w:cs="Times New Roman"/>
          <w:b/>
          <w:color w:val="auto"/>
          <w:sz w:val="24"/>
          <w:highlight w:val="none"/>
        </w:rPr>
        <w:t>电磁环境影响</w:t>
      </w:r>
      <w:bookmarkEnd w:id="344"/>
      <w:r>
        <w:rPr>
          <w:rFonts w:hint="default" w:ascii="Times New Roman" w:hAnsi="Times New Roman" w:eastAsia="宋体" w:cs="Times New Roman"/>
          <w:b/>
          <w:color w:val="auto"/>
          <w:sz w:val="24"/>
          <w:highlight w:val="none"/>
          <w:lang w:val="en-US" w:eastAsia="zh-CN"/>
        </w:rPr>
        <w:t>分析</w:t>
      </w:r>
    </w:p>
    <w:p w14:paraId="17707075">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本项目电磁环境影响评价等级为二级，根据《环境影响评价技术导则 输变电》（HJ24-2020）中二级评价的基本要求，升压站</w:t>
      </w:r>
      <w:r>
        <w:rPr>
          <w:rFonts w:hint="default" w:ascii="Times New Roman" w:hAnsi="Times New Roman" w:eastAsia="宋体" w:cs="Times New Roman"/>
          <w:color w:val="auto"/>
          <w:sz w:val="24"/>
          <w:highlight w:val="none"/>
          <w:lang w:val="en-US" w:eastAsia="zh-CN"/>
        </w:rPr>
        <w:t>已</w:t>
      </w:r>
      <w:r>
        <w:rPr>
          <w:rFonts w:hint="default" w:ascii="Times New Roman" w:hAnsi="Times New Roman" w:eastAsia="宋体" w:cs="Times New Roman"/>
          <w:color w:val="auto"/>
          <w:sz w:val="24"/>
          <w:highlight w:val="none"/>
        </w:rPr>
        <w:t>安装1台200MVA的主变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bidi="ar"/>
        </w:rPr>
        <w:t>由于本项目升压站为已建成运营的升压站，</w:t>
      </w:r>
      <w:r>
        <w:rPr>
          <w:rFonts w:hint="default" w:ascii="Times New Roman" w:hAnsi="Times New Roman" w:eastAsia="宋体" w:cs="Times New Roman"/>
          <w:color w:val="auto"/>
          <w:sz w:val="24"/>
          <w:highlight w:val="none"/>
          <w:lang w:bidi="ar"/>
        </w:rPr>
        <w:t>电磁环境影响</w:t>
      </w:r>
      <w:r>
        <w:rPr>
          <w:rFonts w:hint="default" w:ascii="Times New Roman" w:hAnsi="Times New Roman" w:eastAsia="宋体" w:cs="Times New Roman"/>
          <w:color w:val="auto"/>
          <w:sz w:val="24"/>
          <w:highlight w:val="none"/>
          <w:lang w:val="en-US" w:eastAsia="zh-CN" w:bidi="ar"/>
        </w:rPr>
        <w:t>分析</w:t>
      </w:r>
      <w:r>
        <w:rPr>
          <w:rFonts w:hint="default" w:ascii="Times New Roman" w:hAnsi="Times New Roman" w:eastAsia="宋体" w:cs="Times New Roman"/>
          <w:color w:val="auto"/>
          <w:sz w:val="24"/>
          <w:highlight w:val="none"/>
          <w:lang w:bidi="ar"/>
        </w:rPr>
        <w:t>采用</w:t>
      </w:r>
      <w:r>
        <w:rPr>
          <w:rFonts w:hint="default" w:ascii="Times New Roman" w:hAnsi="Times New Roman" w:eastAsia="宋体" w:cs="Times New Roman"/>
          <w:color w:val="auto"/>
          <w:sz w:val="24"/>
          <w:highlight w:val="none"/>
        </w:rPr>
        <w:t>项目电磁环境</w:t>
      </w:r>
      <w:r>
        <w:rPr>
          <w:rFonts w:hint="default" w:ascii="Times New Roman" w:hAnsi="Times New Roman" w:eastAsia="宋体" w:cs="Times New Roman"/>
          <w:color w:val="auto"/>
          <w:sz w:val="24"/>
          <w:highlight w:val="none"/>
          <w:lang w:val="en-US" w:eastAsia="zh-CN"/>
        </w:rPr>
        <w:t>实</w:t>
      </w:r>
      <w:r>
        <w:rPr>
          <w:rFonts w:hint="default" w:ascii="Times New Roman" w:hAnsi="Times New Roman" w:eastAsia="宋体" w:cs="Times New Roman"/>
          <w:color w:val="auto"/>
          <w:sz w:val="24"/>
          <w:highlight w:val="none"/>
        </w:rPr>
        <w:t>测结果进行评价。</w:t>
      </w:r>
    </w:p>
    <w:p w14:paraId="00934358">
      <w:pPr>
        <w:spacing w:line="360" w:lineRule="auto"/>
        <w:ind w:firstLine="352" w:firstLineChars="147"/>
        <w:rPr>
          <w:rFonts w:hint="default" w:ascii="Times New Roman" w:hAnsi="Times New Roman" w:eastAsia="宋体" w:cs="Times New Roman"/>
          <w:color w:val="auto"/>
          <w:sz w:val="24"/>
          <w:highlight w:val="none"/>
        </w:rPr>
      </w:pPr>
    </w:p>
    <w:p w14:paraId="3A263123">
      <w:pPr>
        <w:spacing w:line="360" w:lineRule="auto"/>
        <w:ind w:firstLine="354" w:firstLineChars="147"/>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监测点位</w:t>
      </w:r>
    </w:p>
    <w:p w14:paraId="30AFC360">
      <w:pPr>
        <w:spacing w:line="360" w:lineRule="auto"/>
        <w:ind w:firstLine="352" w:firstLineChars="14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本次环评在进行现场调查期间，</w:t>
      </w:r>
      <w:r>
        <w:rPr>
          <w:rFonts w:hint="default" w:ascii="Times New Roman" w:hAnsi="Times New Roman" w:eastAsia="宋体" w:cs="Times New Roman"/>
          <w:color w:val="auto"/>
          <w:sz w:val="24"/>
          <w:highlight w:val="none"/>
          <w:lang w:eastAsia="zh-CN"/>
        </w:rPr>
        <w:t>评价人员根据220kV升压站布置方式</w:t>
      </w:r>
      <w:r>
        <w:rPr>
          <w:rFonts w:hint="default" w:ascii="Times New Roman" w:hAnsi="Times New Roman" w:eastAsia="宋体" w:cs="Times New Roman"/>
          <w:color w:val="auto"/>
          <w:sz w:val="24"/>
          <w:highlight w:val="none"/>
        </w:rPr>
        <w:t>、外环境关系和周围居民分布情况确立了具体的电磁环境监测点位。</w:t>
      </w:r>
    </w:p>
    <w:p w14:paraId="7A0C9AD2">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根据现场踏勘，本项目220kV升压站</w:t>
      </w:r>
      <w:r>
        <w:rPr>
          <w:rFonts w:hint="default" w:ascii="Times New Roman" w:hAnsi="Times New Roman" w:eastAsia="宋体" w:cs="Times New Roman"/>
          <w:color w:val="auto"/>
          <w:kern w:val="0"/>
          <w:sz w:val="24"/>
          <w:highlight w:val="none"/>
          <w:lang w:val="en-US" w:eastAsia="zh-CN"/>
        </w:rPr>
        <w:t>电磁环境评价范围内</w:t>
      </w:r>
      <w:r>
        <w:rPr>
          <w:rFonts w:hint="default" w:ascii="Times New Roman" w:hAnsi="Times New Roman" w:eastAsia="宋体" w:cs="Times New Roman"/>
          <w:color w:val="auto"/>
          <w:kern w:val="0"/>
          <w:sz w:val="24"/>
          <w:highlight w:val="none"/>
        </w:rPr>
        <w:t>不涉及</w:t>
      </w:r>
      <w:r>
        <w:rPr>
          <w:rFonts w:hint="default" w:ascii="Times New Roman" w:hAnsi="Times New Roman" w:eastAsia="宋体" w:cs="Times New Roman"/>
          <w:color w:val="auto"/>
          <w:kern w:val="0"/>
          <w:sz w:val="24"/>
          <w:highlight w:val="none"/>
          <w:lang w:val="en-US" w:eastAsia="zh-CN"/>
        </w:rPr>
        <w:t>电磁</w:t>
      </w:r>
      <w:r>
        <w:rPr>
          <w:rFonts w:hint="default" w:ascii="Times New Roman" w:hAnsi="Times New Roman" w:eastAsia="宋体" w:cs="Times New Roman"/>
          <w:color w:val="auto"/>
          <w:sz w:val="24"/>
          <w:highlight w:val="none"/>
        </w:rPr>
        <w:t>环境敏感目标，本次监测在220kV升压站站址</w:t>
      </w:r>
      <w:r>
        <w:rPr>
          <w:rFonts w:hint="default" w:ascii="Times New Roman" w:hAnsi="Times New Roman" w:eastAsia="宋体" w:cs="Times New Roman"/>
          <w:color w:val="auto"/>
          <w:sz w:val="24"/>
          <w:highlight w:val="none"/>
          <w:lang w:val="en-US" w:eastAsia="zh-CN"/>
        </w:rPr>
        <w:t>东、南、西、北</w:t>
      </w:r>
      <w:r>
        <w:rPr>
          <w:rFonts w:hint="default" w:ascii="Times New Roman" w:hAnsi="Times New Roman" w:eastAsia="宋体" w:cs="Times New Roman"/>
          <w:color w:val="auto"/>
          <w:sz w:val="24"/>
          <w:highlight w:val="none"/>
        </w:rPr>
        <w:t>四周进行了电磁环境监测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同时由于站址北侧、东侧、南侧均为林地，本次于</w:t>
      </w:r>
      <w:r>
        <w:rPr>
          <w:rFonts w:hint="default" w:ascii="Times New Roman" w:hAnsi="Times New Roman" w:eastAsia="宋体" w:cs="Times New Roman"/>
          <w:color w:val="auto"/>
          <w:sz w:val="24"/>
          <w:szCs w:val="24"/>
          <w:highlight w:val="none"/>
          <w:lang w:val="en-US" w:eastAsia="zh-CN"/>
        </w:rPr>
        <w:t>站址西南侧围墙外（即进站道路侧）设置了1个断面监测点</w:t>
      </w:r>
      <w:r>
        <w:rPr>
          <w:rFonts w:hint="default" w:ascii="Times New Roman" w:hAnsi="Times New Roman" w:eastAsia="宋体" w:cs="Times New Roman"/>
          <w:color w:val="auto"/>
          <w:sz w:val="24"/>
          <w:highlight w:val="none"/>
        </w:rPr>
        <w:t>。监测内容包括工频电场强度、工频磁感应强度。监测点位置详见表4-1和附图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6A631AC6">
      <w:pPr>
        <w:spacing w:line="360" w:lineRule="auto"/>
        <w:ind w:firstLine="352" w:firstLineChars="147"/>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szCs w:val="22"/>
          <w:highlight w:val="none"/>
          <w:lang w:val="en-US" w:eastAsia="zh-CN"/>
        </w:rPr>
        <w:t>本次电磁环境监测期间，升压站为正常运行工况，</w:t>
      </w: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各</w:t>
      </w:r>
      <w:r>
        <w:rPr>
          <w:rFonts w:hint="default" w:ascii="Times New Roman" w:hAnsi="Times New Roman" w:eastAsia="宋体" w:cs="Times New Roman"/>
          <w:color w:val="auto"/>
          <w:sz w:val="24"/>
          <w:highlight w:val="none"/>
        </w:rPr>
        <w:t>监测点位的布设，监测数据能够反映</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rPr>
        <w:t>周围电磁环境</w:t>
      </w:r>
      <w:r>
        <w:rPr>
          <w:rFonts w:hint="default" w:ascii="Times New Roman" w:hAnsi="Times New Roman" w:eastAsia="宋体" w:cs="Times New Roman"/>
          <w:color w:val="auto"/>
          <w:sz w:val="24"/>
          <w:highlight w:val="none"/>
          <w:lang w:val="en-US" w:eastAsia="zh-CN"/>
        </w:rPr>
        <w:t>影响情况</w:t>
      </w:r>
      <w:r>
        <w:rPr>
          <w:rFonts w:hint="default" w:ascii="Times New Roman" w:hAnsi="Times New Roman" w:eastAsia="宋体" w:cs="Times New Roman"/>
          <w:color w:val="auto"/>
          <w:sz w:val="24"/>
          <w:highlight w:val="none"/>
        </w:rPr>
        <w:t>，监测点位布设合理。</w:t>
      </w:r>
    </w:p>
    <w:p w14:paraId="353E4228">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310505" cy="3597275"/>
            <wp:effectExtent l="0" t="0" r="4445"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3"/>
                    <a:stretch>
                      <a:fillRect/>
                    </a:stretch>
                  </pic:blipFill>
                  <pic:spPr>
                    <a:xfrm>
                      <a:off x="0" y="0"/>
                      <a:ext cx="5310505" cy="3597275"/>
                    </a:xfrm>
                    <a:prstGeom prst="rect">
                      <a:avLst/>
                    </a:prstGeom>
                    <a:noFill/>
                    <a:ln>
                      <a:noFill/>
                    </a:ln>
                  </pic:spPr>
                </pic:pic>
              </a:graphicData>
            </a:graphic>
          </wp:inline>
        </w:drawing>
      </w:r>
    </w:p>
    <w:p w14:paraId="64FC67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图5-1  </w:t>
      </w:r>
      <w:r>
        <w:rPr>
          <w:rFonts w:hint="default" w:ascii="Times New Roman" w:hAnsi="Times New Roman" w:eastAsia="宋体" w:cs="Times New Roman"/>
          <w:b/>
          <w:color w:val="auto"/>
          <w:sz w:val="24"/>
          <w:highlight w:val="none"/>
          <w:lang w:val="en-US" w:eastAsia="zh-CN"/>
        </w:rPr>
        <w:t>本项目</w:t>
      </w:r>
      <w:r>
        <w:rPr>
          <w:rFonts w:hint="default" w:ascii="Times New Roman" w:hAnsi="Times New Roman" w:eastAsia="宋体" w:cs="Times New Roman"/>
          <w:b/>
          <w:color w:val="auto"/>
          <w:sz w:val="24"/>
          <w:highlight w:val="none"/>
        </w:rPr>
        <w:t>220kV升压站</w:t>
      </w:r>
      <w:r>
        <w:rPr>
          <w:rFonts w:hint="default" w:ascii="Times New Roman" w:hAnsi="Times New Roman" w:eastAsia="宋体" w:cs="Times New Roman"/>
          <w:b/>
          <w:color w:val="auto"/>
          <w:sz w:val="24"/>
          <w:highlight w:val="none"/>
          <w:lang w:val="en-US" w:eastAsia="zh-CN"/>
        </w:rPr>
        <w:t>电磁环境</w:t>
      </w:r>
      <w:r>
        <w:rPr>
          <w:rFonts w:hint="default" w:ascii="Times New Roman" w:hAnsi="Times New Roman" w:eastAsia="宋体" w:cs="Times New Roman"/>
          <w:b/>
          <w:color w:val="auto"/>
          <w:sz w:val="24"/>
          <w:highlight w:val="none"/>
        </w:rPr>
        <w:t>监测点布置</w:t>
      </w:r>
      <w:r>
        <w:rPr>
          <w:rFonts w:hint="default" w:ascii="Times New Roman" w:hAnsi="Times New Roman" w:eastAsia="宋体" w:cs="Times New Roman"/>
          <w:b/>
          <w:color w:val="auto"/>
          <w:sz w:val="24"/>
          <w:highlight w:val="none"/>
          <w:lang w:val="en-US" w:eastAsia="zh-CN"/>
        </w:rPr>
        <w:t>示意</w:t>
      </w:r>
      <w:r>
        <w:rPr>
          <w:rFonts w:hint="default" w:ascii="Times New Roman" w:hAnsi="Times New Roman" w:eastAsia="宋体" w:cs="Times New Roman"/>
          <w:b/>
          <w:color w:val="auto"/>
          <w:sz w:val="24"/>
          <w:highlight w:val="none"/>
        </w:rPr>
        <w:t>图</w:t>
      </w:r>
    </w:p>
    <w:p w14:paraId="6E31C7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bookmarkStart w:id="345" w:name="_Toc428964105"/>
      <w:bookmarkStart w:id="346" w:name="_Toc428963955"/>
      <w:bookmarkStart w:id="347" w:name="_Toc429320170"/>
      <w:r>
        <w:rPr>
          <w:rFonts w:hint="default" w:ascii="Times New Roman" w:hAnsi="Times New Roman" w:eastAsia="宋体" w:cs="Times New Roman"/>
          <w:b/>
          <w:bCs/>
          <w:color w:val="auto"/>
          <w:sz w:val="24"/>
          <w:highlight w:val="none"/>
        </w:rPr>
        <w:t>监测工况及</w:t>
      </w:r>
      <w:r>
        <w:rPr>
          <w:rFonts w:hint="default" w:ascii="Times New Roman" w:hAnsi="Times New Roman" w:eastAsia="宋体" w:cs="Times New Roman"/>
          <w:b/>
          <w:bCs/>
          <w:color w:val="auto"/>
          <w:sz w:val="24"/>
          <w:highlight w:val="none"/>
          <w:lang w:val="en-US" w:eastAsia="zh-CN"/>
        </w:rPr>
        <w:t>气象条件</w:t>
      </w:r>
    </w:p>
    <w:p w14:paraId="531DFF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rPr>
        <w:t>根据监测报告（见附件15），</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监测期间</w:t>
      </w:r>
      <w:r>
        <w:rPr>
          <w:rFonts w:hint="default" w:ascii="Times New Roman" w:hAnsi="Times New Roman" w:eastAsia="宋体" w:cs="Times New Roman"/>
          <w:color w:val="auto"/>
          <w:sz w:val="24"/>
          <w:highlight w:val="none"/>
        </w:rPr>
        <w:t>相关</w:t>
      </w:r>
      <w:r>
        <w:rPr>
          <w:rFonts w:hint="default" w:ascii="Times New Roman" w:hAnsi="Times New Roman" w:eastAsia="宋体" w:cs="Times New Roman"/>
          <w:color w:val="auto"/>
          <w:sz w:val="24"/>
          <w:highlight w:val="none"/>
          <w:lang w:val="en-US" w:eastAsia="zh-CN"/>
        </w:rPr>
        <w:t>气象条件</w:t>
      </w:r>
      <w:r>
        <w:rPr>
          <w:rFonts w:hint="default" w:ascii="Times New Roman" w:hAnsi="Times New Roman" w:eastAsia="宋体" w:cs="Times New Roman"/>
          <w:color w:val="auto"/>
          <w:sz w:val="24"/>
          <w:highlight w:val="none"/>
        </w:rPr>
        <w:t>如下：</w:t>
      </w:r>
    </w:p>
    <w:p w14:paraId="54421518">
      <w:pPr>
        <w:jc w:val="center"/>
        <w:rPr>
          <w:rFonts w:hint="default" w:ascii="Times New Roman" w:hAnsi="Times New Roman" w:eastAsia="宋体" w:cs="Times New Roman"/>
          <w:b/>
          <w:bCs/>
          <w:color w:val="auto"/>
          <w:sz w:val="24"/>
          <w:highlight w:val="none"/>
        </w:rPr>
      </w:pPr>
    </w:p>
    <w:p w14:paraId="7200DCEC">
      <w:pPr>
        <w:jc w:val="center"/>
        <w:rPr>
          <w:rFonts w:hint="default" w:ascii="Times New Roman" w:hAnsi="Times New Roman" w:eastAsia="宋体" w:cs="Times New Roman"/>
          <w:b/>
          <w:bCs/>
          <w:color w:val="auto"/>
          <w:sz w:val="24"/>
          <w:highlight w:val="none"/>
        </w:rPr>
      </w:pPr>
    </w:p>
    <w:p w14:paraId="346FB975">
      <w:pPr>
        <w:jc w:val="center"/>
        <w:rPr>
          <w:rFonts w:hint="default" w:ascii="Times New Roman" w:hAnsi="Times New Roman" w:eastAsia="宋体" w:cs="Times New Roman"/>
          <w:b/>
          <w:bCs/>
          <w:color w:val="auto"/>
          <w:sz w:val="24"/>
          <w:highlight w:val="none"/>
        </w:rPr>
      </w:pPr>
    </w:p>
    <w:p w14:paraId="4BCBEB20">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5-1</w:t>
      </w:r>
      <w:r>
        <w:rPr>
          <w:rFonts w:hint="default" w:ascii="Times New Roman" w:hAnsi="Times New Roman" w:eastAsia="宋体" w:cs="Times New Roman"/>
          <w:b/>
          <w:bCs/>
          <w:color w:val="auto"/>
          <w:sz w:val="24"/>
          <w:highlight w:val="none"/>
        </w:rPr>
        <w:t xml:space="preserve">  220kV升压站监测期间气象条件</w:t>
      </w:r>
    </w:p>
    <w:tbl>
      <w:tblPr>
        <w:tblStyle w:val="49"/>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635"/>
        <w:gridCol w:w="1563"/>
        <w:gridCol w:w="1507"/>
        <w:gridCol w:w="1155"/>
        <w:gridCol w:w="1279"/>
      </w:tblGrid>
      <w:tr w14:paraId="0A8D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58" w:type="pct"/>
            <w:tcBorders>
              <w:top w:val="single" w:color="auto" w:sz="4" w:space="0"/>
              <w:left w:val="single" w:color="auto" w:sz="4" w:space="0"/>
              <w:bottom w:val="single" w:color="auto" w:sz="4" w:space="0"/>
              <w:right w:val="single" w:color="auto" w:sz="4" w:space="0"/>
            </w:tcBorders>
            <w:noWrap w:val="0"/>
            <w:vAlign w:val="center"/>
          </w:tcPr>
          <w:p w14:paraId="30AA3DB4">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天 气</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1D438405">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温度（℃）</w:t>
            </w:r>
          </w:p>
        </w:tc>
        <w:tc>
          <w:tcPr>
            <w:tcW w:w="928" w:type="pct"/>
            <w:tcBorders>
              <w:top w:val="single" w:color="auto" w:sz="4" w:space="0"/>
              <w:left w:val="single" w:color="auto" w:sz="4" w:space="0"/>
              <w:bottom w:val="single" w:color="auto" w:sz="4" w:space="0"/>
              <w:right w:val="single" w:color="auto" w:sz="4" w:space="0"/>
            </w:tcBorders>
            <w:noWrap w:val="0"/>
            <w:vAlign w:val="center"/>
          </w:tcPr>
          <w:p w14:paraId="41B2E20B">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湿度（RH%）</w:t>
            </w:r>
          </w:p>
        </w:tc>
        <w:tc>
          <w:tcPr>
            <w:tcW w:w="895" w:type="pct"/>
            <w:tcBorders>
              <w:top w:val="single" w:color="auto" w:sz="4" w:space="0"/>
              <w:left w:val="single" w:color="auto" w:sz="4" w:space="0"/>
              <w:bottom w:val="single" w:color="auto" w:sz="4" w:space="0"/>
              <w:right w:val="single" w:color="auto" w:sz="4" w:space="0"/>
            </w:tcBorders>
            <w:noWrap w:val="0"/>
            <w:vAlign w:val="center"/>
          </w:tcPr>
          <w:p w14:paraId="4DE12002">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大气压</w:t>
            </w:r>
            <w:r>
              <w:rPr>
                <w:rFonts w:hint="default" w:ascii="Times New Roman" w:hAnsi="Times New Roman" w:eastAsia="宋体" w:cs="Times New Roman"/>
                <w:b/>
                <w:bCs/>
                <w:color w:val="auto"/>
                <w:szCs w:val="21"/>
                <w:highlight w:val="none"/>
                <w:lang w:eastAsia="zh-CN"/>
              </w:rPr>
              <w:t>（kPa）</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008CF31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风向</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3B5947FD">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风速（</w:t>
            </w:r>
            <w:r>
              <w:rPr>
                <w:rFonts w:hint="default" w:ascii="Times New Roman" w:hAnsi="Times New Roman" w:eastAsia="宋体" w:cs="Times New Roman"/>
                <w:b/>
                <w:bCs/>
                <w:color w:val="auto"/>
                <w:szCs w:val="21"/>
                <w:highlight w:val="none"/>
              </w:rPr>
              <w:t>m/s</w:t>
            </w:r>
            <w:r>
              <w:rPr>
                <w:rFonts w:hint="default" w:ascii="Times New Roman" w:hAnsi="Times New Roman" w:eastAsia="宋体" w:cs="Times New Roman"/>
                <w:b/>
                <w:bCs/>
                <w:color w:val="auto"/>
                <w:szCs w:val="21"/>
                <w:highlight w:val="none"/>
                <w:lang w:eastAsia="zh-CN"/>
              </w:rPr>
              <w:t>）</w:t>
            </w:r>
          </w:p>
        </w:tc>
      </w:tr>
      <w:tr w14:paraId="5E22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8" w:type="pct"/>
            <w:tcBorders>
              <w:top w:val="single" w:color="auto" w:sz="4" w:space="0"/>
              <w:left w:val="single" w:color="auto" w:sz="4" w:space="0"/>
              <w:bottom w:val="single" w:color="auto" w:sz="4" w:space="0"/>
              <w:right w:val="single" w:color="auto" w:sz="4" w:space="0"/>
            </w:tcBorders>
            <w:noWrap w:val="0"/>
            <w:vAlign w:val="center"/>
          </w:tcPr>
          <w:p w14:paraId="4ACA76D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晴</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351FBCD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23.0-33.4</w:t>
            </w:r>
          </w:p>
        </w:tc>
        <w:tc>
          <w:tcPr>
            <w:tcW w:w="928" w:type="pct"/>
            <w:tcBorders>
              <w:top w:val="single" w:color="auto" w:sz="4" w:space="0"/>
              <w:left w:val="single" w:color="auto" w:sz="4" w:space="0"/>
              <w:bottom w:val="single" w:color="auto" w:sz="4" w:space="0"/>
              <w:right w:val="single" w:color="auto" w:sz="4" w:space="0"/>
            </w:tcBorders>
            <w:noWrap w:val="0"/>
            <w:vAlign w:val="center"/>
          </w:tcPr>
          <w:p w14:paraId="3E62374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38-64</w:t>
            </w:r>
          </w:p>
        </w:tc>
        <w:tc>
          <w:tcPr>
            <w:tcW w:w="895" w:type="pct"/>
            <w:tcBorders>
              <w:top w:val="single" w:color="auto" w:sz="4" w:space="0"/>
              <w:left w:val="single" w:color="auto" w:sz="4" w:space="0"/>
              <w:bottom w:val="single" w:color="auto" w:sz="4" w:space="0"/>
              <w:right w:val="single" w:color="auto" w:sz="4" w:space="0"/>
            </w:tcBorders>
            <w:noWrap w:val="0"/>
            <w:vAlign w:val="center"/>
          </w:tcPr>
          <w:p w14:paraId="2940A1C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90.2-90.8</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441924C6">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西南</w:t>
            </w:r>
            <w:r>
              <w:rPr>
                <w:rFonts w:hint="default" w:ascii="Times New Roman" w:hAnsi="Times New Roman" w:eastAsia="宋体" w:cs="Times New Roman"/>
                <w:color w:val="auto"/>
                <w:highlight w:val="none"/>
                <w:lang w:eastAsia="zh-CN"/>
              </w:rPr>
              <w:t>风</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552187E2">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pacing w:val="-5"/>
                <w:sz w:val="24"/>
                <w:highlight w:val="none"/>
                <w:lang w:val="en-US" w:eastAsia="zh-CN" w:bidi="he-IL"/>
              </w:rPr>
              <w:t>0.9-1.7</w:t>
            </w:r>
          </w:p>
        </w:tc>
      </w:tr>
    </w:tbl>
    <w:p w14:paraId="31C1197D">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根据监测报告（见附件15），</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主变压器监测期间</w:t>
      </w:r>
      <w:r>
        <w:rPr>
          <w:rFonts w:hint="default" w:ascii="Times New Roman" w:hAnsi="Times New Roman" w:eastAsia="宋体" w:cs="Times New Roman"/>
          <w:color w:val="auto"/>
          <w:sz w:val="24"/>
          <w:highlight w:val="none"/>
        </w:rPr>
        <w:t>相关</w:t>
      </w:r>
      <w:bookmarkEnd w:id="345"/>
      <w:bookmarkEnd w:id="346"/>
      <w:bookmarkEnd w:id="347"/>
      <w:r>
        <w:rPr>
          <w:rFonts w:hint="default" w:ascii="Times New Roman" w:hAnsi="Times New Roman" w:eastAsia="宋体" w:cs="Times New Roman"/>
          <w:color w:val="auto"/>
          <w:sz w:val="24"/>
          <w:highlight w:val="none"/>
        </w:rPr>
        <w:t>运行工况如下：</w:t>
      </w:r>
    </w:p>
    <w:p w14:paraId="346A78D6">
      <w:pPr>
        <w:widowControl/>
        <w:spacing w:line="360" w:lineRule="auto"/>
        <w:ind w:firstLine="510"/>
        <w:jc w:val="center"/>
        <w:rPr>
          <w:rFonts w:hint="default" w:ascii="Times New Roman" w:hAnsi="Times New Roman" w:eastAsia="宋体" w:cs="Times New Roman"/>
          <w:b/>
          <w:color w:val="auto"/>
          <w:sz w:val="24"/>
          <w:szCs w:val="24"/>
          <w:highlight w:val="none"/>
          <w:lang w:val="en-US"/>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5-2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本项目220kV变电站主变压器运行工况一览表</w:t>
      </w:r>
    </w:p>
    <w:tbl>
      <w:tblPr>
        <w:tblStyle w:val="49"/>
        <w:tblW w:w="53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1752"/>
        <w:gridCol w:w="1527"/>
        <w:gridCol w:w="1991"/>
        <w:gridCol w:w="1890"/>
      </w:tblGrid>
      <w:tr w14:paraId="3E58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15"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5D8F950F">
            <w:pPr>
              <w:pStyle w:val="325"/>
              <w:keepNext w:val="0"/>
              <w:keepLines w:val="0"/>
              <w:pageBreakBefore w:val="0"/>
              <w:widowControl w:val="0"/>
              <w:kinsoku/>
              <w:wordWrap/>
              <w:overflowPunct/>
              <w:topLinePunct w:val="0"/>
              <w:bidi w:val="0"/>
              <w:adjustRightInd/>
              <w:snapToGrid/>
              <w:spacing w:line="288"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主变压器</w:t>
            </w:r>
          </w:p>
        </w:tc>
        <w:tc>
          <w:tcPr>
            <w:tcW w:w="975"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5499F0BA">
            <w:pPr>
              <w:pStyle w:val="325"/>
              <w:keepNext w:val="0"/>
              <w:keepLines w:val="0"/>
              <w:pageBreakBefore w:val="0"/>
              <w:widowControl w:val="0"/>
              <w:kinsoku/>
              <w:wordWrap/>
              <w:overflowPunct/>
              <w:topLinePunct w:val="0"/>
              <w:bidi w:val="0"/>
              <w:adjustRightInd/>
              <w:snapToGrid/>
              <w:spacing w:line="288"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电压值（kV）</w:t>
            </w:r>
          </w:p>
        </w:tc>
        <w:tc>
          <w:tcPr>
            <w:tcW w:w="84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2F8BD84A">
            <w:pPr>
              <w:pStyle w:val="325"/>
              <w:keepNext w:val="0"/>
              <w:keepLines w:val="0"/>
              <w:pageBreakBefore w:val="0"/>
              <w:widowControl w:val="0"/>
              <w:kinsoku/>
              <w:wordWrap/>
              <w:overflowPunct/>
              <w:topLinePunct w:val="0"/>
              <w:bidi w:val="0"/>
              <w:adjustRightInd/>
              <w:snapToGrid/>
              <w:spacing w:line="288"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电流值（A）</w:t>
            </w:r>
          </w:p>
        </w:tc>
        <w:tc>
          <w:tcPr>
            <w:tcW w:w="110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6C3C4281">
            <w:pPr>
              <w:pStyle w:val="325"/>
              <w:keepNext w:val="0"/>
              <w:keepLines w:val="0"/>
              <w:pageBreakBefore w:val="0"/>
              <w:widowControl w:val="0"/>
              <w:kinsoku/>
              <w:wordWrap/>
              <w:overflowPunct/>
              <w:topLinePunct w:val="0"/>
              <w:bidi w:val="0"/>
              <w:adjustRightInd/>
              <w:snapToGrid/>
              <w:spacing w:line="288"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有功功率（MW）</w:t>
            </w:r>
          </w:p>
        </w:tc>
        <w:tc>
          <w:tcPr>
            <w:tcW w:w="105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685DF530">
            <w:pPr>
              <w:pStyle w:val="325"/>
              <w:keepNext w:val="0"/>
              <w:keepLines w:val="0"/>
              <w:pageBreakBefore w:val="0"/>
              <w:widowControl w:val="0"/>
              <w:kinsoku/>
              <w:wordWrap/>
              <w:overflowPunct/>
              <w:topLinePunct w:val="0"/>
              <w:bidi w:val="0"/>
              <w:adjustRightInd/>
              <w:snapToGrid/>
              <w:spacing w:line="288"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无功功率（MW）</w:t>
            </w:r>
          </w:p>
        </w:tc>
      </w:tr>
      <w:tr w14:paraId="557E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15"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10FD2268">
            <w:pPr>
              <w:pStyle w:val="325"/>
              <w:keepNext w:val="0"/>
              <w:keepLines w:val="0"/>
              <w:pageBreakBefore w:val="0"/>
              <w:widowControl w:val="0"/>
              <w:kinsoku/>
              <w:wordWrap/>
              <w:overflowPunct/>
              <w:topLinePunct w:val="0"/>
              <w:bidi w:val="0"/>
              <w:adjustRightInd/>
              <w:snapToGrid/>
              <w:spacing w:line="288" w:lineRule="auto"/>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sz w:val="21"/>
                <w:szCs w:val="21"/>
                <w:highlight w:val="none"/>
              </w:rPr>
              <w:t>1#主变（</w:t>
            </w: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MVA）</w:t>
            </w:r>
          </w:p>
        </w:tc>
        <w:tc>
          <w:tcPr>
            <w:tcW w:w="975"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4B35EFF1">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230.99-235.00</w:t>
            </w:r>
          </w:p>
        </w:tc>
        <w:tc>
          <w:tcPr>
            <w:tcW w:w="84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7FF423A3">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1.86~307.29</w:t>
            </w:r>
          </w:p>
        </w:tc>
        <w:tc>
          <w:tcPr>
            <w:tcW w:w="110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7C17ACC5">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-0.86~112.4</w:t>
            </w:r>
          </w:p>
        </w:tc>
        <w:tc>
          <w:tcPr>
            <w:tcW w:w="105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14:paraId="051E4A8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vertAlign w:val="baseline"/>
                <w:lang w:val="en-US" w:eastAsia="zh-CN"/>
              </w:rPr>
              <w:t>-2.16~46.59</w:t>
            </w:r>
          </w:p>
        </w:tc>
      </w:tr>
    </w:tbl>
    <w:p w14:paraId="44A8FB41">
      <w:pPr>
        <w:widowControl/>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color w:val="auto"/>
          <w:sz w:val="24"/>
          <w:highlight w:val="none"/>
        </w:rPr>
        <w:t>监测仪器</w:t>
      </w:r>
    </w:p>
    <w:p w14:paraId="3641CA82">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本次环境影响评价阶段，建设单位于2024年10月12日委托云南科环环境工程咨询有限公司对升压站进行了电磁环境监测</w:t>
      </w:r>
      <w:r>
        <w:rPr>
          <w:rFonts w:hint="default" w:ascii="Times New Roman" w:hAnsi="Times New Roman" w:eastAsia="宋体" w:cs="Times New Roman"/>
          <w:color w:val="auto"/>
          <w:sz w:val="24"/>
          <w:highlight w:val="none"/>
        </w:rPr>
        <w:t>，监测仪器状况见表</w:t>
      </w:r>
      <w:r>
        <w:rPr>
          <w:rFonts w:hint="default" w:ascii="Times New Roman" w:hAnsi="Times New Roman" w:eastAsia="宋体" w:cs="Times New Roman"/>
          <w:color w:val="auto"/>
          <w:sz w:val="24"/>
          <w:highlight w:val="none"/>
          <w:lang w:val="en-US" w:eastAsia="zh-CN"/>
        </w:rPr>
        <w:t>5-3</w:t>
      </w:r>
      <w:r>
        <w:rPr>
          <w:rFonts w:hint="default" w:ascii="Times New Roman" w:hAnsi="Times New Roman" w:eastAsia="宋体" w:cs="Times New Roman"/>
          <w:color w:val="auto"/>
          <w:sz w:val="24"/>
          <w:highlight w:val="none"/>
        </w:rPr>
        <w:t>、气象条件见表</w:t>
      </w:r>
      <w:r>
        <w:rPr>
          <w:rFonts w:hint="default" w:ascii="Times New Roman" w:hAnsi="Times New Roman" w:eastAsia="宋体" w:cs="Times New Roman"/>
          <w:color w:val="auto"/>
          <w:sz w:val="24"/>
          <w:highlight w:val="none"/>
          <w:lang w:val="en-US" w:eastAsia="zh-CN"/>
        </w:rPr>
        <w:t>5-2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云南科环环境工程咨询有限公司</w:t>
      </w:r>
      <w:r>
        <w:rPr>
          <w:rFonts w:hint="default" w:ascii="Times New Roman" w:hAnsi="Times New Roman" w:eastAsia="宋体" w:cs="Times New Roman"/>
          <w:color w:val="auto"/>
          <w:sz w:val="24"/>
          <w:szCs w:val="28"/>
          <w:highlight w:val="none"/>
        </w:rPr>
        <w:t>已具备监测资质，其资质认定计量认证证书编号为172516180004，详见附件1</w:t>
      </w:r>
      <w:r>
        <w:rPr>
          <w:rFonts w:hint="default" w:ascii="Times New Roman" w:hAnsi="Times New Roman" w:eastAsia="宋体"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rPr>
        <w:t>中现状监测报告。</w:t>
      </w:r>
    </w:p>
    <w:p w14:paraId="21480A01">
      <w:pPr>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5-3</w:t>
      </w:r>
      <w:r>
        <w:rPr>
          <w:rFonts w:hint="default" w:ascii="Times New Roman" w:hAnsi="Times New Roman" w:eastAsia="宋体" w:cs="Times New Roman"/>
          <w:b/>
          <w:bCs/>
          <w:color w:val="auto"/>
          <w:sz w:val="24"/>
          <w:highlight w:val="none"/>
        </w:rPr>
        <w:t xml:space="preserve">   监测仪器</w:t>
      </w:r>
      <w:r>
        <w:rPr>
          <w:rFonts w:hint="default" w:ascii="Times New Roman" w:hAnsi="Times New Roman" w:eastAsia="宋体" w:cs="Times New Roman"/>
          <w:b/>
          <w:bCs/>
          <w:color w:val="auto"/>
          <w:sz w:val="24"/>
          <w:highlight w:val="none"/>
          <w:lang w:val="en-US" w:eastAsia="zh-CN"/>
        </w:rPr>
        <w:t>一览表</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140"/>
        <w:gridCol w:w="915"/>
        <w:gridCol w:w="1189"/>
        <w:gridCol w:w="1429"/>
        <w:gridCol w:w="1191"/>
        <w:gridCol w:w="1668"/>
      </w:tblGrid>
      <w:tr w14:paraId="6F14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noWrap w:val="0"/>
            <w:vAlign w:val="center"/>
          </w:tcPr>
          <w:p w14:paraId="20EC483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w:t>
            </w:r>
          </w:p>
          <w:p w14:paraId="68B3880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69" w:type="pct"/>
            <w:noWrap w:val="0"/>
            <w:vAlign w:val="center"/>
          </w:tcPr>
          <w:p w14:paraId="52AA860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537" w:type="pct"/>
            <w:noWrap w:val="0"/>
            <w:vAlign w:val="center"/>
          </w:tcPr>
          <w:p w14:paraId="5D9FB75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仪器编号</w:t>
            </w:r>
          </w:p>
        </w:tc>
        <w:tc>
          <w:tcPr>
            <w:tcW w:w="698" w:type="pct"/>
            <w:noWrap w:val="0"/>
            <w:vAlign w:val="center"/>
          </w:tcPr>
          <w:p w14:paraId="24668C1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测量</w:t>
            </w:r>
          </w:p>
          <w:p w14:paraId="4472F03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范围</w:t>
            </w:r>
          </w:p>
        </w:tc>
        <w:tc>
          <w:tcPr>
            <w:tcW w:w="838" w:type="pct"/>
            <w:noWrap w:val="0"/>
            <w:vAlign w:val="center"/>
          </w:tcPr>
          <w:p w14:paraId="69CA557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检/校有效期</w:t>
            </w:r>
          </w:p>
        </w:tc>
        <w:tc>
          <w:tcPr>
            <w:tcW w:w="699" w:type="pct"/>
            <w:noWrap w:val="0"/>
            <w:vAlign w:val="center"/>
          </w:tcPr>
          <w:p w14:paraId="16DE2B4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证书编号</w:t>
            </w:r>
          </w:p>
        </w:tc>
        <w:tc>
          <w:tcPr>
            <w:tcW w:w="979" w:type="pct"/>
            <w:noWrap w:val="0"/>
            <w:vAlign w:val="center"/>
          </w:tcPr>
          <w:p w14:paraId="3A5964B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检/校单位</w:t>
            </w:r>
          </w:p>
        </w:tc>
      </w:tr>
      <w:tr w14:paraId="5228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noWrap w:val="0"/>
            <w:vAlign w:val="center"/>
          </w:tcPr>
          <w:p w14:paraId="3064B13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电磁辐射分析仪</w:t>
            </w:r>
          </w:p>
        </w:tc>
        <w:tc>
          <w:tcPr>
            <w:tcW w:w="669" w:type="pct"/>
            <w:vMerge w:val="restart"/>
            <w:noWrap w:val="0"/>
            <w:vAlign w:val="center"/>
          </w:tcPr>
          <w:p w14:paraId="12A13D3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LF-01D&amp;SEM-600</w:t>
            </w:r>
          </w:p>
        </w:tc>
        <w:tc>
          <w:tcPr>
            <w:tcW w:w="537" w:type="pct"/>
            <w:vMerge w:val="restart"/>
            <w:noWrap w:val="0"/>
            <w:vAlign w:val="center"/>
          </w:tcPr>
          <w:p w14:paraId="426D595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KH-0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5</w:t>
            </w:r>
          </w:p>
        </w:tc>
        <w:tc>
          <w:tcPr>
            <w:tcW w:w="698" w:type="pct"/>
            <w:noWrap w:val="0"/>
            <w:vAlign w:val="center"/>
          </w:tcPr>
          <w:p w14:paraId="7E71A50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0.01V/m-100KV/m</w:t>
            </w:r>
          </w:p>
        </w:tc>
        <w:tc>
          <w:tcPr>
            <w:tcW w:w="838" w:type="pct"/>
            <w:noWrap w:val="0"/>
            <w:vAlign w:val="center"/>
          </w:tcPr>
          <w:p w14:paraId="00F35E9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电场：202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年06月</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日</w:t>
            </w:r>
          </w:p>
        </w:tc>
        <w:tc>
          <w:tcPr>
            <w:tcW w:w="699" w:type="pct"/>
            <w:noWrap w:val="0"/>
            <w:vAlign w:val="center"/>
          </w:tcPr>
          <w:p w14:paraId="5ADF83C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JL2400890648</w:t>
            </w:r>
            <w:r>
              <w:rPr>
                <w:rFonts w:hint="default" w:ascii="Times New Roman" w:hAnsi="Times New Roman" w:eastAsia="宋体" w:cs="Times New Roman"/>
                <w:color w:val="auto"/>
                <w:sz w:val="21"/>
                <w:szCs w:val="21"/>
                <w:highlight w:val="none"/>
              </w:rPr>
              <w:t xml:space="preserve"> </w:t>
            </w:r>
          </w:p>
        </w:tc>
        <w:tc>
          <w:tcPr>
            <w:tcW w:w="979" w:type="pct"/>
            <w:vMerge w:val="restart"/>
            <w:noWrap w:val="0"/>
            <w:vAlign w:val="center"/>
          </w:tcPr>
          <w:p w14:paraId="5942594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深圳市</w:t>
            </w:r>
            <w:r>
              <w:rPr>
                <w:rFonts w:hint="default" w:ascii="Times New Roman" w:hAnsi="Times New Roman" w:eastAsia="宋体" w:cs="Times New Roman"/>
                <w:color w:val="auto"/>
                <w:sz w:val="21"/>
                <w:szCs w:val="21"/>
                <w:highlight w:val="none"/>
              </w:rPr>
              <w:t>计量</w:t>
            </w:r>
            <w:r>
              <w:rPr>
                <w:rFonts w:hint="default" w:ascii="Times New Roman" w:hAnsi="Times New Roman" w:eastAsia="宋体" w:cs="Times New Roman"/>
                <w:color w:val="auto"/>
                <w:sz w:val="21"/>
                <w:szCs w:val="21"/>
                <w:highlight w:val="none"/>
                <w:lang w:val="en-US" w:eastAsia="zh-CN"/>
              </w:rPr>
              <w:t>质量检测</w:t>
            </w:r>
            <w:r>
              <w:rPr>
                <w:rFonts w:hint="default" w:ascii="Times New Roman" w:hAnsi="Times New Roman" w:eastAsia="宋体" w:cs="Times New Roman"/>
                <w:color w:val="auto"/>
                <w:sz w:val="21"/>
                <w:szCs w:val="21"/>
                <w:highlight w:val="none"/>
              </w:rPr>
              <w:t>研究院</w:t>
            </w:r>
          </w:p>
        </w:tc>
      </w:tr>
      <w:tr w14:paraId="58A2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noWrap w:val="0"/>
            <w:vAlign w:val="center"/>
          </w:tcPr>
          <w:p w14:paraId="3EE60D6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669" w:type="pct"/>
            <w:vMerge w:val="continue"/>
            <w:noWrap w:val="0"/>
            <w:vAlign w:val="center"/>
          </w:tcPr>
          <w:p w14:paraId="4B0AB07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537" w:type="pct"/>
            <w:vMerge w:val="continue"/>
            <w:noWrap w:val="0"/>
            <w:vAlign w:val="center"/>
          </w:tcPr>
          <w:p w14:paraId="2C9908F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c>
          <w:tcPr>
            <w:tcW w:w="698" w:type="pct"/>
            <w:noWrap w:val="0"/>
            <w:vAlign w:val="center"/>
          </w:tcPr>
          <w:p w14:paraId="3C917EC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1nT-10mT</w:t>
            </w:r>
          </w:p>
        </w:tc>
        <w:tc>
          <w:tcPr>
            <w:tcW w:w="838" w:type="pct"/>
            <w:noWrap w:val="0"/>
            <w:vAlign w:val="center"/>
          </w:tcPr>
          <w:p w14:paraId="2C3E5CF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磁场：202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年06月</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日</w:t>
            </w:r>
          </w:p>
        </w:tc>
        <w:tc>
          <w:tcPr>
            <w:tcW w:w="699" w:type="pct"/>
            <w:noWrap w:val="0"/>
            <w:vAlign w:val="center"/>
          </w:tcPr>
          <w:p w14:paraId="7B290F8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JL2400890648</w:t>
            </w:r>
            <w:r>
              <w:rPr>
                <w:rFonts w:hint="default" w:ascii="Times New Roman" w:hAnsi="Times New Roman" w:eastAsia="宋体" w:cs="Times New Roman"/>
                <w:color w:val="auto"/>
                <w:sz w:val="21"/>
                <w:szCs w:val="21"/>
                <w:highlight w:val="none"/>
              </w:rPr>
              <w:t xml:space="preserve"> </w:t>
            </w:r>
          </w:p>
        </w:tc>
        <w:tc>
          <w:tcPr>
            <w:tcW w:w="979" w:type="pct"/>
            <w:vMerge w:val="continue"/>
            <w:noWrap w:val="0"/>
            <w:vAlign w:val="center"/>
          </w:tcPr>
          <w:p w14:paraId="2A2761C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 w:val="21"/>
                <w:szCs w:val="21"/>
                <w:highlight w:val="none"/>
              </w:rPr>
            </w:pPr>
          </w:p>
        </w:tc>
      </w:tr>
    </w:tbl>
    <w:p w14:paraId="6C2C1D4D">
      <w:pPr>
        <w:widowControl/>
        <w:spacing w:line="360" w:lineRule="auto"/>
        <w:ind w:firstLine="482"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）监测断面设置</w:t>
      </w:r>
    </w:p>
    <w:p w14:paraId="2609207A">
      <w:pPr>
        <w:widowControl/>
        <w:spacing w:line="360" w:lineRule="auto"/>
        <w:ind w:firstLine="480" w:firstLineChars="200"/>
        <w:jc w:val="left"/>
        <w:rPr>
          <w:rFonts w:hint="default" w:ascii="Times New Roman" w:hAnsi="Times New Roman" w:eastAsia="宋体" w:cs="Times New Roman"/>
          <w:b/>
          <w:bCs/>
          <w:color w:val="auto"/>
          <w:sz w:val="24"/>
          <w:highlight w:val="none"/>
        </w:rPr>
      </w:pPr>
      <w:r>
        <w:rPr>
          <w:rFonts w:hint="eastAsia" w:cs="Times New Roman"/>
          <w:color w:val="auto"/>
          <w:sz w:val="24"/>
          <w:szCs w:val="24"/>
          <w:highlight w:val="none"/>
          <w:lang w:eastAsia="zh-CN"/>
        </w:rPr>
        <w:t>岩子头生态修复光伏电站220kV升压站</w:t>
      </w:r>
      <w:r>
        <w:rPr>
          <w:rFonts w:hint="default" w:ascii="Times New Roman" w:hAnsi="Times New Roman" w:eastAsia="宋体" w:cs="Times New Roman"/>
          <w:color w:val="auto"/>
          <w:sz w:val="24"/>
          <w:highlight w:val="none"/>
        </w:rPr>
        <w:t>工频电磁场监测布点：站址</w:t>
      </w:r>
      <w:r>
        <w:rPr>
          <w:rFonts w:hint="default" w:ascii="Times New Roman" w:hAnsi="Times New Roman" w:eastAsia="宋体" w:cs="Times New Roman"/>
          <w:color w:val="auto"/>
          <w:sz w:val="24"/>
          <w:highlight w:val="none"/>
          <w:lang w:val="en-US" w:eastAsia="zh-CN"/>
        </w:rPr>
        <w:t>周边均为林地，站址西南侧为进站道路</w:t>
      </w:r>
      <w:r>
        <w:rPr>
          <w:rFonts w:hint="default" w:ascii="Times New Roman" w:hAnsi="Times New Roman" w:eastAsia="宋体" w:cs="Times New Roman"/>
          <w:color w:val="auto"/>
          <w:sz w:val="24"/>
          <w:highlight w:val="none"/>
        </w:rPr>
        <w:t>，相对宽敞，故监测断面选择在站址</w:t>
      </w:r>
      <w:r>
        <w:rPr>
          <w:rFonts w:hint="default" w:ascii="Times New Roman" w:hAnsi="Times New Roman" w:eastAsia="宋体" w:cs="Times New Roman"/>
          <w:color w:val="auto"/>
          <w:sz w:val="24"/>
          <w:highlight w:val="none"/>
          <w:lang w:val="en-US" w:eastAsia="zh-CN"/>
        </w:rPr>
        <w:t>西南</w:t>
      </w:r>
      <w:r>
        <w:rPr>
          <w:rFonts w:hint="default" w:ascii="Times New Roman" w:hAnsi="Times New Roman" w:eastAsia="宋体" w:cs="Times New Roman"/>
          <w:color w:val="auto"/>
          <w:sz w:val="24"/>
          <w:highlight w:val="none"/>
        </w:rPr>
        <w:t>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进站道路一侧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，以围墙为起点，避开进出线，依次外测到50m。</w:t>
      </w:r>
    </w:p>
    <w:p w14:paraId="57D47B32">
      <w:pPr>
        <w:widowControl/>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监测结果</w:t>
      </w:r>
      <w:r>
        <w:rPr>
          <w:rFonts w:hint="default" w:ascii="Times New Roman" w:hAnsi="Times New Roman" w:eastAsia="宋体" w:cs="Times New Roman"/>
          <w:b/>
          <w:bCs/>
          <w:color w:val="auto"/>
          <w:sz w:val="24"/>
          <w:highlight w:val="none"/>
        </w:rPr>
        <w:t>与评价</w:t>
      </w:r>
    </w:p>
    <w:p w14:paraId="5E899A72">
      <w:pPr>
        <w:widowControl/>
        <w:spacing w:line="360" w:lineRule="auto"/>
        <w:ind w:firstLine="480"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lang w:val="en-US" w:eastAsia="zh-CN"/>
        </w:rPr>
        <w:t>根据监测报告（详见附件15），本项目220kV升压站</w:t>
      </w:r>
      <w:r>
        <w:rPr>
          <w:rFonts w:hint="default" w:ascii="Times New Roman" w:hAnsi="Times New Roman" w:eastAsia="宋体" w:cs="Times New Roman"/>
          <w:color w:val="auto"/>
          <w:sz w:val="24"/>
          <w:highlight w:val="none"/>
        </w:rPr>
        <w:t>工频电场、工频磁场监测结果见表5-4。</w:t>
      </w:r>
    </w:p>
    <w:p w14:paraId="35636CD8">
      <w:pPr>
        <w:widowControl/>
        <w:ind w:firstLine="482" w:firstLineChars="200"/>
        <w:jc w:val="center"/>
        <w:rPr>
          <w:rFonts w:hint="default" w:ascii="Times New Roman" w:hAnsi="Times New Roman" w:eastAsia="宋体" w:cs="Times New Roman"/>
          <w:b/>
          <w:color w:val="auto"/>
          <w:sz w:val="24"/>
          <w:highlight w:val="none"/>
        </w:rPr>
      </w:pPr>
    </w:p>
    <w:p w14:paraId="3BAF4BA5">
      <w:pPr>
        <w:widowControl/>
        <w:ind w:firstLine="482" w:firstLineChars="200"/>
        <w:jc w:val="center"/>
        <w:rPr>
          <w:rFonts w:hint="default" w:ascii="Times New Roman" w:hAnsi="Times New Roman" w:eastAsia="宋体" w:cs="Times New Roman"/>
          <w:b/>
          <w:color w:val="auto"/>
          <w:sz w:val="24"/>
          <w:highlight w:val="none"/>
        </w:rPr>
      </w:pPr>
    </w:p>
    <w:p w14:paraId="02331710">
      <w:pPr>
        <w:widowControl/>
        <w:ind w:firstLine="482" w:firstLineChars="200"/>
        <w:jc w:val="center"/>
        <w:rPr>
          <w:rFonts w:hint="default" w:ascii="Times New Roman" w:hAnsi="Times New Roman" w:eastAsia="宋体" w:cs="Times New Roman"/>
          <w:b/>
          <w:color w:val="auto"/>
          <w:sz w:val="24"/>
          <w:highlight w:val="none"/>
        </w:rPr>
      </w:pPr>
    </w:p>
    <w:p w14:paraId="37AC766F">
      <w:pPr>
        <w:widowControl/>
        <w:ind w:firstLine="482" w:firstLineChars="200"/>
        <w:jc w:val="center"/>
        <w:rPr>
          <w:rFonts w:hint="default" w:ascii="Times New Roman" w:hAnsi="Times New Roman" w:eastAsia="宋体" w:cs="Times New Roman"/>
          <w:b/>
          <w:color w:val="auto"/>
          <w:sz w:val="24"/>
          <w:highlight w:val="none"/>
        </w:rPr>
      </w:pPr>
    </w:p>
    <w:p w14:paraId="6088BF10">
      <w:pPr>
        <w:widowControl/>
        <w:ind w:firstLine="482" w:firstLineChars="200"/>
        <w:jc w:val="center"/>
        <w:rPr>
          <w:rFonts w:hint="default" w:ascii="Times New Roman" w:hAnsi="Times New Roman" w:eastAsia="宋体" w:cs="Times New Roman"/>
          <w:b/>
          <w:color w:val="auto"/>
          <w:sz w:val="24"/>
          <w:highlight w:val="none"/>
        </w:rPr>
      </w:pPr>
      <w:bookmarkStart w:id="352" w:name="_GoBack"/>
      <w:bookmarkEnd w:id="352"/>
      <w:r>
        <w:rPr>
          <w:rFonts w:hint="default" w:ascii="Times New Roman" w:hAnsi="Times New Roman" w:eastAsia="宋体" w:cs="Times New Roman"/>
          <w:b/>
          <w:color w:val="auto"/>
          <w:sz w:val="24"/>
          <w:highlight w:val="none"/>
        </w:rPr>
        <w:t>表5-4  220kV升压站电磁环境监测结果</w:t>
      </w:r>
    </w:p>
    <w:tbl>
      <w:tblPr>
        <w:tblStyle w:val="50"/>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3449"/>
        <w:gridCol w:w="1437"/>
        <w:gridCol w:w="1375"/>
        <w:gridCol w:w="1381"/>
      </w:tblGrid>
      <w:tr w14:paraId="2079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73" w:type="pct"/>
            <w:vMerge w:val="restart"/>
            <w:vAlign w:val="center"/>
          </w:tcPr>
          <w:p w14:paraId="59FDFA6A">
            <w:pPr>
              <w:widowControl/>
              <w:adjustRightInd w:val="0"/>
              <w:snapToGrid w:val="0"/>
              <w:spacing w:line="30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88" w:type="pct"/>
            <w:vMerge w:val="restart"/>
            <w:vAlign w:val="center"/>
          </w:tcPr>
          <w:p w14:paraId="65AB92D4">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检测点位置</w:t>
            </w:r>
          </w:p>
        </w:tc>
        <w:tc>
          <w:tcPr>
            <w:tcW w:w="869" w:type="pct"/>
            <w:vMerge w:val="restart"/>
            <w:vAlign w:val="center"/>
          </w:tcPr>
          <w:p w14:paraId="1D93E2D8">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668" w:type="pct"/>
            <w:gridSpan w:val="2"/>
            <w:vAlign w:val="center"/>
          </w:tcPr>
          <w:p w14:paraId="08F72DF3">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eastAsia="zh-CN" w:bidi="ar"/>
              </w:rPr>
              <w:t>检</w:t>
            </w:r>
            <w:r>
              <w:rPr>
                <w:rFonts w:hint="default" w:ascii="Times New Roman" w:hAnsi="Times New Roman" w:eastAsia="宋体" w:cs="Times New Roman"/>
                <w:b/>
                <w:bCs/>
                <w:color w:val="auto"/>
                <w:kern w:val="0"/>
                <w:sz w:val="21"/>
                <w:szCs w:val="21"/>
                <w:highlight w:val="none"/>
                <w:lang w:bidi="ar"/>
              </w:rPr>
              <w:t>测结果</w:t>
            </w:r>
          </w:p>
        </w:tc>
      </w:tr>
      <w:tr w14:paraId="5C60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373" w:type="pct"/>
            <w:vMerge w:val="continue"/>
            <w:vAlign w:val="center"/>
          </w:tcPr>
          <w:p w14:paraId="66F6994E">
            <w:pPr>
              <w:widowControl/>
              <w:adjustRightInd w:val="0"/>
              <w:snapToGrid w:val="0"/>
              <w:spacing w:line="300" w:lineRule="auto"/>
              <w:jc w:val="center"/>
              <w:rPr>
                <w:rFonts w:hint="default" w:ascii="Times New Roman" w:hAnsi="Times New Roman" w:eastAsia="宋体" w:cs="Times New Roman"/>
                <w:color w:val="auto"/>
                <w:sz w:val="21"/>
                <w:szCs w:val="21"/>
                <w:highlight w:val="none"/>
              </w:rPr>
            </w:pPr>
          </w:p>
        </w:tc>
        <w:tc>
          <w:tcPr>
            <w:tcW w:w="2088" w:type="pct"/>
            <w:vMerge w:val="continue"/>
            <w:vAlign w:val="center"/>
          </w:tcPr>
          <w:p w14:paraId="15680014">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p>
        </w:tc>
        <w:tc>
          <w:tcPr>
            <w:tcW w:w="869" w:type="pct"/>
            <w:vMerge w:val="continue"/>
            <w:vAlign w:val="center"/>
          </w:tcPr>
          <w:p w14:paraId="42C5DB10">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sz w:val="21"/>
                <w:szCs w:val="21"/>
                <w:highlight w:val="none"/>
              </w:rPr>
            </w:pPr>
          </w:p>
        </w:tc>
        <w:tc>
          <w:tcPr>
            <w:tcW w:w="832" w:type="pct"/>
            <w:vAlign w:val="center"/>
          </w:tcPr>
          <w:p w14:paraId="3EE296BC">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工频电场强度（V/m）</w:t>
            </w:r>
          </w:p>
        </w:tc>
        <w:tc>
          <w:tcPr>
            <w:tcW w:w="836" w:type="pct"/>
            <w:vAlign w:val="center"/>
          </w:tcPr>
          <w:p w14:paraId="34E2E90F">
            <w:pPr>
              <w:widowControl/>
              <w:adjustRightInd w:val="0"/>
              <w:snapToGrid w:val="0"/>
              <w:spacing w:line="30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工频磁感应强度（μT）</w:t>
            </w:r>
          </w:p>
        </w:tc>
      </w:tr>
      <w:tr w14:paraId="064F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5000" w:type="pct"/>
            <w:gridSpan w:val="5"/>
            <w:vAlign w:val="center"/>
          </w:tcPr>
          <w:p w14:paraId="421A06F3">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升压站站外5m处电/磁场场监测</w:t>
            </w:r>
          </w:p>
        </w:tc>
      </w:tr>
      <w:tr w14:paraId="7235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vAlign w:val="center"/>
          </w:tcPr>
          <w:p w14:paraId="02C0E506">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w:t>
            </w:r>
          </w:p>
        </w:tc>
        <w:tc>
          <w:tcPr>
            <w:tcW w:w="2088" w:type="pct"/>
            <w:vAlign w:val="center"/>
          </w:tcPr>
          <w:p w14:paraId="68F83D8A">
            <w:pPr>
              <w:pStyle w:val="47"/>
              <w:keepNext w:val="0"/>
              <w:keepLines w:val="0"/>
              <w:pageBreakBefore w:val="0"/>
              <w:widowControl w:val="0"/>
              <w:tabs>
                <w:tab w:val="left" w:pos="900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220kV升压站东侧围墙外5m处</w:t>
            </w:r>
          </w:p>
        </w:tc>
        <w:tc>
          <w:tcPr>
            <w:tcW w:w="869" w:type="pct"/>
            <w:vAlign w:val="center"/>
          </w:tcPr>
          <w:p w14:paraId="387DB92E">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2024.10.12</w:t>
            </w:r>
          </w:p>
        </w:tc>
        <w:tc>
          <w:tcPr>
            <w:tcW w:w="832" w:type="pct"/>
            <w:vAlign w:val="center"/>
          </w:tcPr>
          <w:p w14:paraId="311935C9">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3544.4</w:t>
            </w:r>
          </w:p>
        </w:tc>
        <w:tc>
          <w:tcPr>
            <w:tcW w:w="836" w:type="pct"/>
            <w:vAlign w:val="center"/>
          </w:tcPr>
          <w:p w14:paraId="4843D18F">
            <w:pPr>
              <w:pStyle w:val="47"/>
              <w:pageBreakBefore w:val="0"/>
              <w:widowControl w:val="0"/>
              <w:tabs>
                <w:tab w:val="left" w:pos="9000"/>
              </w:tabs>
              <w:kinsoku/>
              <w:wordWrap/>
              <w:overflowPunct/>
              <w:topLinePunct w:val="0"/>
              <w:autoSpaceDE w:val="0"/>
              <w:autoSpaceDN w:val="0"/>
              <w:bidi w:val="0"/>
              <w:adjustRightInd w:val="0"/>
              <w:snapToGrid/>
              <w:spacing w:before="0" w:after="0"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bCs/>
                <w:color w:val="auto"/>
                <w:spacing w:val="0"/>
                <w:w w:val="100"/>
                <w:kern w:val="2"/>
                <w:sz w:val="21"/>
                <w:szCs w:val="21"/>
                <w:highlight w:val="none"/>
                <w:lang w:val="en-US" w:eastAsia="zh-CN" w:bidi="ar-SA"/>
              </w:rPr>
              <w:t>0.1758</w:t>
            </w:r>
          </w:p>
        </w:tc>
      </w:tr>
      <w:tr w14:paraId="13DC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1968E4A3">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w:t>
            </w:r>
          </w:p>
        </w:tc>
        <w:tc>
          <w:tcPr>
            <w:tcW w:w="2088" w:type="pct"/>
            <w:shd w:val="clear" w:color="auto" w:fill="auto"/>
            <w:vAlign w:val="center"/>
          </w:tcPr>
          <w:p w14:paraId="6F37DE4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220kV升压站南侧围墙外5m处</w:t>
            </w:r>
          </w:p>
        </w:tc>
        <w:tc>
          <w:tcPr>
            <w:tcW w:w="869" w:type="pct"/>
            <w:vAlign w:val="center"/>
          </w:tcPr>
          <w:p w14:paraId="566E5CD6">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1CEF86F">
            <w:pPr>
              <w:pStyle w:val="47"/>
              <w:keepNext w:val="0"/>
              <w:keepLines w:val="0"/>
              <w:pageBreakBefore w:val="0"/>
              <w:widowControl w:val="0"/>
              <w:tabs>
                <w:tab w:val="left" w:pos="9000"/>
              </w:tabs>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69.09</w:t>
            </w:r>
          </w:p>
        </w:tc>
        <w:tc>
          <w:tcPr>
            <w:tcW w:w="836" w:type="pct"/>
            <w:vAlign w:val="center"/>
          </w:tcPr>
          <w:p w14:paraId="45880943">
            <w:pPr>
              <w:pStyle w:val="47"/>
              <w:pageBreakBefore w:val="0"/>
              <w:widowControl w:val="0"/>
              <w:tabs>
                <w:tab w:val="left" w:pos="9000"/>
              </w:tabs>
              <w:kinsoku/>
              <w:wordWrap/>
              <w:overflowPunct/>
              <w:topLinePunct w:val="0"/>
              <w:autoSpaceDE w:val="0"/>
              <w:autoSpaceDN w:val="0"/>
              <w:bidi w:val="0"/>
              <w:adjustRightInd w:val="0"/>
              <w:snapToGrid/>
              <w:spacing w:before="0" w:after="0"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0.0898</w:t>
            </w:r>
          </w:p>
        </w:tc>
      </w:tr>
      <w:tr w14:paraId="5A8D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01B02D6B">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3</w:t>
            </w:r>
          </w:p>
        </w:tc>
        <w:tc>
          <w:tcPr>
            <w:tcW w:w="2088" w:type="pct"/>
            <w:shd w:val="clear" w:color="auto" w:fill="auto"/>
            <w:vAlign w:val="center"/>
          </w:tcPr>
          <w:p w14:paraId="160B1A47">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220kV升压站西侧围墙外5m处</w:t>
            </w:r>
          </w:p>
        </w:tc>
        <w:tc>
          <w:tcPr>
            <w:tcW w:w="869" w:type="pct"/>
            <w:vAlign w:val="center"/>
          </w:tcPr>
          <w:p w14:paraId="4F884701">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1DAF632">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8.998</w:t>
            </w:r>
          </w:p>
        </w:tc>
        <w:tc>
          <w:tcPr>
            <w:tcW w:w="836" w:type="pct"/>
            <w:vAlign w:val="center"/>
          </w:tcPr>
          <w:p w14:paraId="511AF757">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0.0887</w:t>
            </w:r>
          </w:p>
        </w:tc>
      </w:tr>
      <w:tr w14:paraId="3284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373" w:type="pct"/>
            <w:shd w:val="clear" w:color="auto" w:fill="auto"/>
            <w:vAlign w:val="center"/>
          </w:tcPr>
          <w:p w14:paraId="17F76AC2">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4</w:t>
            </w:r>
          </w:p>
        </w:tc>
        <w:tc>
          <w:tcPr>
            <w:tcW w:w="2088" w:type="pct"/>
            <w:shd w:val="clear" w:color="auto" w:fill="auto"/>
            <w:vAlign w:val="center"/>
          </w:tcPr>
          <w:p w14:paraId="081F8B0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220kV升压站北侧围墙外5m处</w:t>
            </w:r>
          </w:p>
        </w:tc>
        <w:tc>
          <w:tcPr>
            <w:tcW w:w="869" w:type="pct"/>
            <w:vAlign w:val="center"/>
          </w:tcPr>
          <w:p w14:paraId="102E4788">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4453FFA4">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12.94</w:t>
            </w:r>
          </w:p>
        </w:tc>
        <w:tc>
          <w:tcPr>
            <w:tcW w:w="836" w:type="pct"/>
            <w:vAlign w:val="center"/>
          </w:tcPr>
          <w:p w14:paraId="740B0F18">
            <w:pPr>
              <w:keepNext w:val="0"/>
              <w:keepLines w:val="0"/>
              <w:pageBreakBefore w:val="0"/>
              <w:widowControl w:val="0"/>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0.0946</w:t>
            </w:r>
          </w:p>
        </w:tc>
      </w:tr>
      <w:tr w14:paraId="1E4A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5000" w:type="pct"/>
            <w:gridSpan w:val="5"/>
            <w:shd w:val="clear" w:color="auto" w:fill="auto"/>
            <w:vAlign w:val="center"/>
          </w:tcPr>
          <w:p w14:paraId="3D4989E9">
            <w:pPr>
              <w:keepLines/>
              <w:adjustRightInd w:val="0"/>
              <w:snapToGrid w:val="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升压站西南侧电/磁场断面监测</w:t>
            </w:r>
          </w:p>
        </w:tc>
      </w:tr>
      <w:tr w14:paraId="4E5C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373" w:type="pct"/>
            <w:shd w:val="clear" w:color="auto" w:fill="auto"/>
            <w:vAlign w:val="center"/>
          </w:tcPr>
          <w:p w14:paraId="2E98F36B">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5</w:t>
            </w:r>
          </w:p>
        </w:tc>
        <w:tc>
          <w:tcPr>
            <w:tcW w:w="2088" w:type="pct"/>
            <w:shd w:val="clear" w:color="auto" w:fill="auto"/>
            <w:vAlign w:val="center"/>
          </w:tcPr>
          <w:p w14:paraId="596BE67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w w:val="100"/>
                <w:kern w:val="2"/>
                <w:sz w:val="21"/>
                <w:szCs w:val="21"/>
                <w:highlight w:val="none"/>
                <w:lang w:val="en-US" w:eastAsia="zh-CN" w:bidi="ar-SA"/>
              </w:rPr>
            </w:pPr>
            <w:r>
              <w:rPr>
                <w:rFonts w:hint="default" w:ascii="Times New Roman" w:hAnsi="Times New Roman" w:eastAsia="宋体" w:cs="Times New Roman"/>
                <w:b w:val="0"/>
                <w:color w:val="auto"/>
                <w:spacing w:val="0"/>
                <w:w w:val="100"/>
                <w:kern w:val="2"/>
                <w:sz w:val="21"/>
                <w:szCs w:val="21"/>
                <w:highlight w:val="none"/>
                <w:lang w:val="en-US" w:eastAsia="zh-CN" w:bidi="ar-SA"/>
              </w:rPr>
              <w:t>220kV升压站西南侧围墙外1m处</w:t>
            </w:r>
          </w:p>
        </w:tc>
        <w:tc>
          <w:tcPr>
            <w:tcW w:w="869" w:type="pct"/>
            <w:vAlign w:val="center"/>
          </w:tcPr>
          <w:p w14:paraId="44B5D26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5285F7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13.20</w:t>
            </w:r>
          </w:p>
        </w:tc>
        <w:tc>
          <w:tcPr>
            <w:tcW w:w="836" w:type="pct"/>
            <w:vAlign w:val="center"/>
          </w:tcPr>
          <w:p w14:paraId="713183E0">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0.0948</w:t>
            </w:r>
          </w:p>
        </w:tc>
      </w:tr>
      <w:tr w14:paraId="4007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0E90D4F9">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w:t>
            </w:r>
          </w:p>
        </w:tc>
        <w:tc>
          <w:tcPr>
            <w:tcW w:w="2088" w:type="pct"/>
            <w:shd w:val="clear" w:color="auto" w:fill="auto"/>
            <w:vAlign w:val="center"/>
          </w:tcPr>
          <w:p w14:paraId="7C9A1590">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220kV升压站西南侧围墙外5m处</w:t>
            </w:r>
          </w:p>
        </w:tc>
        <w:tc>
          <w:tcPr>
            <w:tcW w:w="869" w:type="pct"/>
            <w:vAlign w:val="center"/>
          </w:tcPr>
          <w:p w14:paraId="00BFD49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A71D220">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15.17</w:t>
            </w:r>
          </w:p>
        </w:tc>
        <w:tc>
          <w:tcPr>
            <w:tcW w:w="836" w:type="pct"/>
            <w:vAlign w:val="center"/>
          </w:tcPr>
          <w:p w14:paraId="4C1C9DC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0.0945</w:t>
            </w:r>
          </w:p>
        </w:tc>
      </w:tr>
      <w:tr w14:paraId="0CB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5B3D9C71">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7</w:t>
            </w:r>
          </w:p>
        </w:tc>
        <w:tc>
          <w:tcPr>
            <w:tcW w:w="2088" w:type="pct"/>
            <w:shd w:val="clear" w:color="auto" w:fill="auto"/>
            <w:vAlign w:val="center"/>
          </w:tcPr>
          <w:p w14:paraId="5497A5E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220kV升压站西南侧围墙外9m处</w:t>
            </w:r>
          </w:p>
        </w:tc>
        <w:tc>
          <w:tcPr>
            <w:tcW w:w="869" w:type="pct"/>
            <w:vAlign w:val="center"/>
          </w:tcPr>
          <w:p w14:paraId="67A4180E">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43E2914E">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15.19</w:t>
            </w:r>
          </w:p>
        </w:tc>
        <w:tc>
          <w:tcPr>
            <w:tcW w:w="836" w:type="pct"/>
            <w:vAlign w:val="center"/>
          </w:tcPr>
          <w:p w14:paraId="75B4030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0.0949</w:t>
            </w:r>
          </w:p>
        </w:tc>
      </w:tr>
      <w:tr w14:paraId="2CD1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37A4190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8</w:t>
            </w:r>
          </w:p>
        </w:tc>
        <w:tc>
          <w:tcPr>
            <w:tcW w:w="2088" w:type="pct"/>
            <w:shd w:val="clear" w:color="auto" w:fill="auto"/>
            <w:vAlign w:val="center"/>
          </w:tcPr>
          <w:p w14:paraId="7B62706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220kV升压站西南侧围墙外10m处</w:t>
            </w:r>
          </w:p>
        </w:tc>
        <w:tc>
          <w:tcPr>
            <w:tcW w:w="869" w:type="pct"/>
            <w:vAlign w:val="center"/>
          </w:tcPr>
          <w:p w14:paraId="09D28C5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BA0FEAE">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15.21</w:t>
            </w:r>
          </w:p>
        </w:tc>
        <w:tc>
          <w:tcPr>
            <w:tcW w:w="836" w:type="pct"/>
            <w:vAlign w:val="center"/>
          </w:tcPr>
          <w:p w14:paraId="42FD3B4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0.0954</w:t>
            </w:r>
          </w:p>
        </w:tc>
      </w:tr>
      <w:tr w14:paraId="2539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3750DF0">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9</w:t>
            </w:r>
          </w:p>
        </w:tc>
        <w:tc>
          <w:tcPr>
            <w:tcW w:w="2088" w:type="pct"/>
            <w:shd w:val="clear" w:color="auto" w:fill="auto"/>
            <w:vAlign w:val="center"/>
          </w:tcPr>
          <w:p w14:paraId="16BABA9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220kV升压站西南侧围墙外11m处</w:t>
            </w:r>
          </w:p>
        </w:tc>
        <w:tc>
          <w:tcPr>
            <w:tcW w:w="869" w:type="pct"/>
            <w:vAlign w:val="center"/>
          </w:tcPr>
          <w:p w14:paraId="18B9569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2651A3E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15.14</w:t>
            </w:r>
          </w:p>
        </w:tc>
        <w:tc>
          <w:tcPr>
            <w:tcW w:w="836" w:type="pct"/>
            <w:vAlign w:val="center"/>
          </w:tcPr>
          <w:p w14:paraId="4CFA79D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0.0948</w:t>
            </w:r>
          </w:p>
        </w:tc>
      </w:tr>
      <w:tr w14:paraId="706E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7CEC0BF4">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10</w:t>
            </w:r>
          </w:p>
        </w:tc>
        <w:tc>
          <w:tcPr>
            <w:tcW w:w="2088" w:type="pct"/>
            <w:shd w:val="clear" w:color="auto" w:fill="auto"/>
            <w:vAlign w:val="center"/>
          </w:tcPr>
          <w:p w14:paraId="65FB6A9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220kV升压站西南侧围墙外15m处</w:t>
            </w:r>
          </w:p>
        </w:tc>
        <w:tc>
          <w:tcPr>
            <w:tcW w:w="869" w:type="pct"/>
            <w:vAlign w:val="center"/>
          </w:tcPr>
          <w:p w14:paraId="45DBEC2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BBF352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14.61</w:t>
            </w:r>
          </w:p>
        </w:tc>
        <w:tc>
          <w:tcPr>
            <w:tcW w:w="836" w:type="pct"/>
            <w:vAlign w:val="center"/>
          </w:tcPr>
          <w:p w14:paraId="460FA20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0.0946</w:t>
            </w:r>
          </w:p>
        </w:tc>
      </w:tr>
      <w:tr w14:paraId="6220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2F05DC89">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w:t>
            </w:r>
          </w:p>
        </w:tc>
        <w:tc>
          <w:tcPr>
            <w:tcW w:w="2088" w:type="pct"/>
            <w:shd w:val="clear" w:color="auto" w:fill="auto"/>
            <w:vAlign w:val="center"/>
          </w:tcPr>
          <w:p w14:paraId="052E83E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220kV升压站西南侧围墙外20m处</w:t>
            </w:r>
          </w:p>
        </w:tc>
        <w:tc>
          <w:tcPr>
            <w:tcW w:w="869" w:type="pct"/>
            <w:vAlign w:val="center"/>
          </w:tcPr>
          <w:p w14:paraId="1B90CE38">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168856C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13.73</w:t>
            </w:r>
          </w:p>
        </w:tc>
        <w:tc>
          <w:tcPr>
            <w:tcW w:w="836" w:type="pct"/>
            <w:vAlign w:val="center"/>
          </w:tcPr>
          <w:p w14:paraId="3408054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0.0950</w:t>
            </w:r>
          </w:p>
        </w:tc>
      </w:tr>
      <w:tr w14:paraId="406E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5DFE752F">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12</w:t>
            </w:r>
          </w:p>
        </w:tc>
        <w:tc>
          <w:tcPr>
            <w:tcW w:w="2088" w:type="pct"/>
            <w:shd w:val="clear" w:color="auto" w:fill="auto"/>
            <w:vAlign w:val="center"/>
          </w:tcPr>
          <w:p w14:paraId="448531C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220kV升压站西南侧围墙外25m处</w:t>
            </w:r>
          </w:p>
        </w:tc>
        <w:tc>
          <w:tcPr>
            <w:tcW w:w="869" w:type="pct"/>
            <w:vAlign w:val="center"/>
          </w:tcPr>
          <w:p w14:paraId="4662918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4C453E6">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11.60</w:t>
            </w:r>
          </w:p>
        </w:tc>
        <w:tc>
          <w:tcPr>
            <w:tcW w:w="836" w:type="pct"/>
            <w:vAlign w:val="center"/>
          </w:tcPr>
          <w:p w14:paraId="3E01957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0.0944</w:t>
            </w:r>
          </w:p>
        </w:tc>
      </w:tr>
      <w:tr w14:paraId="4F77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551B09EB">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13</w:t>
            </w:r>
          </w:p>
        </w:tc>
        <w:tc>
          <w:tcPr>
            <w:tcW w:w="2088" w:type="pct"/>
            <w:shd w:val="clear" w:color="auto" w:fill="auto"/>
            <w:vAlign w:val="center"/>
          </w:tcPr>
          <w:p w14:paraId="389CB59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220kV升压站西南侧围墙外30m处</w:t>
            </w:r>
          </w:p>
        </w:tc>
        <w:tc>
          <w:tcPr>
            <w:tcW w:w="869" w:type="pct"/>
            <w:vAlign w:val="center"/>
          </w:tcPr>
          <w:p w14:paraId="71DD1B3F">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66D917D">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11.03</w:t>
            </w:r>
          </w:p>
        </w:tc>
        <w:tc>
          <w:tcPr>
            <w:tcW w:w="836" w:type="pct"/>
            <w:vAlign w:val="center"/>
          </w:tcPr>
          <w:p w14:paraId="516BF6A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0.0944</w:t>
            </w:r>
          </w:p>
        </w:tc>
      </w:tr>
      <w:tr w14:paraId="6D75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6292CA6A">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14</w:t>
            </w:r>
          </w:p>
        </w:tc>
        <w:tc>
          <w:tcPr>
            <w:tcW w:w="2088" w:type="pct"/>
            <w:shd w:val="clear" w:color="auto" w:fill="auto"/>
            <w:vAlign w:val="center"/>
          </w:tcPr>
          <w:p w14:paraId="688AA12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220kV升压站西南侧围墙外35m处</w:t>
            </w:r>
          </w:p>
        </w:tc>
        <w:tc>
          <w:tcPr>
            <w:tcW w:w="869" w:type="pct"/>
            <w:vAlign w:val="center"/>
          </w:tcPr>
          <w:p w14:paraId="3EE8200B">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68DF6641">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7.866</w:t>
            </w:r>
          </w:p>
        </w:tc>
        <w:tc>
          <w:tcPr>
            <w:tcW w:w="836" w:type="pct"/>
            <w:vAlign w:val="center"/>
          </w:tcPr>
          <w:p w14:paraId="4A86401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0.0950</w:t>
            </w:r>
          </w:p>
        </w:tc>
      </w:tr>
      <w:tr w14:paraId="5C81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46E6D2FA">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15</w:t>
            </w:r>
          </w:p>
        </w:tc>
        <w:tc>
          <w:tcPr>
            <w:tcW w:w="2088" w:type="pct"/>
            <w:shd w:val="clear" w:color="auto" w:fill="auto"/>
            <w:vAlign w:val="center"/>
          </w:tcPr>
          <w:p w14:paraId="20DD701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220kV升压站西南侧围墙外40m处</w:t>
            </w:r>
          </w:p>
        </w:tc>
        <w:tc>
          <w:tcPr>
            <w:tcW w:w="869" w:type="pct"/>
            <w:vAlign w:val="center"/>
          </w:tcPr>
          <w:p w14:paraId="7AFDD5E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7C8C9F8C">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6.860</w:t>
            </w:r>
          </w:p>
        </w:tc>
        <w:tc>
          <w:tcPr>
            <w:tcW w:w="836" w:type="pct"/>
            <w:vAlign w:val="center"/>
          </w:tcPr>
          <w:p w14:paraId="0A39240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0.0953</w:t>
            </w:r>
          </w:p>
        </w:tc>
      </w:tr>
      <w:tr w14:paraId="710C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3" w:type="pct"/>
            <w:shd w:val="clear" w:color="auto" w:fill="auto"/>
            <w:vAlign w:val="center"/>
          </w:tcPr>
          <w:p w14:paraId="53A5EB37">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16</w:t>
            </w:r>
          </w:p>
        </w:tc>
        <w:tc>
          <w:tcPr>
            <w:tcW w:w="2088" w:type="pct"/>
            <w:shd w:val="clear" w:color="auto" w:fill="auto"/>
            <w:vAlign w:val="center"/>
          </w:tcPr>
          <w:p w14:paraId="27617AEA">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220kV升压站西南侧围墙外45m处</w:t>
            </w:r>
          </w:p>
        </w:tc>
        <w:tc>
          <w:tcPr>
            <w:tcW w:w="869" w:type="pct"/>
            <w:vAlign w:val="center"/>
          </w:tcPr>
          <w:p w14:paraId="43DEF17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vAlign w:val="center"/>
          </w:tcPr>
          <w:p w14:paraId="5D144333">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6.056</w:t>
            </w:r>
          </w:p>
        </w:tc>
        <w:tc>
          <w:tcPr>
            <w:tcW w:w="836" w:type="pct"/>
            <w:vAlign w:val="center"/>
          </w:tcPr>
          <w:p w14:paraId="3AF16265">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0.0942</w:t>
            </w:r>
          </w:p>
        </w:tc>
      </w:tr>
      <w:tr w14:paraId="05DE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373" w:type="pct"/>
            <w:shd w:val="clear" w:color="auto" w:fill="auto"/>
            <w:vAlign w:val="center"/>
          </w:tcPr>
          <w:p w14:paraId="3F1824F3">
            <w:pPr>
              <w:pStyle w:val="47"/>
              <w:keepNext w:val="0"/>
              <w:keepLines w:val="0"/>
              <w:pageBreakBefore w:val="0"/>
              <w:widowControl w:val="0"/>
              <w:tabs>
                <w:tab w:val="left" w:pos="9000"/>
              </w:tabs>
              <w:kinsoku/>
              <w:wordWrap/>
              <w:overflowPunct/>
              <w:topLinePunct w:val="0"/>
              <w:autoSpaceDE w:val="0"/>
              <w:autoSpaceDN w:val="0"/>
              <w:bidi w:val="0"/>
              <w:snapToGrid/>
              <w:spacing w:line="240" w:lineRule="auto"/>
              <w:ind w:right="0" w:rightChars="0" w:firstLine="0" w:firstLineChars="0"/>
              <w:jc w:val="center"/>
              <w:rPr>
                <w:rFonts w:hint="default" w:ascii="Times New Roman" w:hAnsi="Times New Roman" w:eastAsia="宋体" w:cs="Times New Roman"/>
                <w:b w:val="0"/>
                <w:color w:val="auto"/>
                <w:spacing w:val="0"/>
                <w:w w:val="9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17</w:t>
            </w:r>
          </w:p>
        </w:tc>
        <w:tc>
          <w:tcPr>
            <w:tcW w:w="2088" w:type="pct"/>
            <w:shd w:val="clear" w:color="auto" w:fill="auto"/>
            <w:vAlign w:val="center"/>
          </w:tcPr>
          <w:p w14:paraId="5B1835A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220kV升压站西南侧围墙外50m处</w:t>
            </w:r>
          </w:p>
        </w:tc>
        <w:tc>
          <w:tcPr>
            <w:tcW w:w="869" w:type="pct"/>
            <w:shd w:val="clear" w:color="auto" w:fill="auto"/>
            <w:vAlign w:val="center"/>
          </w:tcPr>
          <w:p w14:paraId="170B4062">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val="0"/>
                <w:color w:val="auto"/>
                <w:spacing w:val="0"/>
                <w:kern w:val="2"/>
                <w:sz w:val="21"/>
                <w:szCs w:val="21"/>
                <w:highlight w:val="none"/>
                <w:lang w:val="en-US" w:eastAsia="zh-CN" w:bidi="ar-SA"/>
              </w:rPr>
              <w:t>2024.10.12</w:t>
            </w:r>
          </w:p>
        </w:tc>
        <w:tc>
          <w:tcPr>
            <w:tcW w:w="832" w:type="pct"/>
            <w:shd w:val="clear" w:color="auto" w:fill="auto"/>
            <w:vAlign w:val="center"/>
          </w:tcPr>
          <w:p w14:paraId="2213E144">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3.990</w:t>
            </w:r>
          </w:p>
        </w:tc>
        <w:tc>
          <w:tcPr>
            <w:tcW w:w="836" w:type="pct"/>
            <w:shd w:val="clear" w:color="auto" w:fill="auto"/>
            <w:vAlign w:val="center"/>
          </w:tcPr>
          <w:p w14:paraId="1958F559">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0.0913</w:t>
            </w:r>
          </w:p>
        </w:tc>
      </w:tr>
      <w:tr w14:paraId="76F5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3331" w:type="pct"/>
            <w:gridSpan w:val="3"/>
            <w:shd w:val="clear" w:color="auto" w:fill="auto"/>
            <w:vAlign w:val="center"/>
          </w:tcPr>
          <w:p w14:paraId="6D916203">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评价标准</w:t>
            </w:r>
          </w:p>
        </w:tc>
        <w:tc>
          <w:tcPr>
            <w:tcW w:w="832" w:type="pct"/>
            <w:shd w:val="clear" w:color="auto" w:fill="auto"/>
            <w:vAlign w:val="center"/>
          </w:tcPr>
          <w:p w14:paraId="069ABFBB">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4000</w:t>
            </w:r>
          </w:p>
        </w:tc>
        <w:tc>
          <w:tcPr>
            <w:tcW w:w="836" w:type="pct"/>
            <w:shd w:val="clear" w:color="auto" w:fill="auto"/>
            <w:vAlign w:val="center"/>
          </w:tcPr>
          <w:p w14:paraId="031738FD">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100</w:t>
            </w:r>
          </w:p>
        </w:tc>
      </w:tr>
      <w:tr w14:paraId="4FDE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3331" w:type="pct"/>
            <w:gridSpan w:val="3"/>
            <w:shd w:val="clear" w:color="auto" w:fill="auto"/>
            <w:vAlign w:val="center"/>
          </w:tcPr>
          <w:p w14:paraId="40BF709F">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达标情况</w:t>
            </w:r>
          </w:p>
        </w:tc>
        <w:tc>
          <w:tcPr>
            <w:tcW w:w="832" w:type="pct"/>
            <w:shd w:val="clear" w:color="auto" w:fill="auto"/>
            <w:vAlign w:val="center"/>
          </w:tcPr>
          <w:p w14:paraId="22162BF1">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w:t>
            </w:r>
          </w:p>
        </w:tc>
        <w:tc>
          <w:tcPr>
            <w:tcW w:w="836" w:type="pct"/>
            <w:shd w:val="clear" w:color="auto" w:fill="auto"/>
            <w:vAlign w:val="center"/>
          </w:tcPr>
          <w:p w14:paraId="651EBE91">
            <w:pPr>
              <w:spacing w:line="360" w:lineRule="auto"/>
              <w:jc w:val="center"/>
              <w:rPr>
                <w:rFonts w:hint="default" w:ascii="Times New Roman" w:hAnsi="Times New Roman" w:eastAsia="宋体" w:cs="Times New Roman"/>
                <w:b w:val="0"/>
                <w:color w:val="auto"/>
                <w:spacing w:val="0"/>
                <w:kern w:val="2"/>
                <w:sz w:val="21"/>
                <w:szCs w:val="21"/>
                <w:highlight w:val="none"/>
                <w:lang w:val="en-US" w:eastAsia="zh-CN" w:bidi="ar-SA"/>
              </w:rPr>
            </w:pPr>
            <w:r>
              <w:rPr>
                <w:rFonts w:hint="default" w:ascii="Times New Roman" w:hAnsi="Times New Roman" w:eastAsia="宋体" w:cs="Times New Roman"/>
                <w:color w:val="auto"/>
                <w:szCs w:val="21"/>
                <w:highlight w:val="none"/>
              </w:rPr>
              <w:t>达标</w:t>
            </w:r>
          </w:p>
        </w:tc>
      </w:tr>
    </w:tbl>
    <w:p w14:paraId="4769B25D">
      <w:pPr>
        <w:tabs>
          <w:tab w:val="left" w:pos="930"/>
        </w:tabs>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由上表监测结果可知，</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220kV升压站站址四周的工频电场强度在</w:t>
      </w:r>
      <w:r>
        <w:rPr>
          <w:rFonts w:hint="default" w:ascii="Times New Roman" w:hAnsi="Times New Roman" w:eastAsia="宋体" w:cs="Times New Roman"/>
          <w:color w:val="auto"/>
          <w:sz w:val="24"/>
          <w:highlight w:val="none"/>
          <w:lang w:val="en-US" w:eastAsia="zh-CN"/>
        </w:rPr>
        <w:t>8.994~3544.4</w:t>
      </w:r>
      <w:r>
        <w:rPr>
          <w:rFonts w:hint="default" w:ascii="Times New Roman" w:hAnsi="Times New Roman" w:eastAsia="宋体" w:cs="Times New Roman"/>
          <w:color w:val="auto"/>
          <w:sz w:val="24"/>
          <w:highlight w:val="none"/>
        </w:rPr>
        <w:t>V/m之间，工频磁感应强度在0.</w:t>
      </w:r>
      <w:r>
        <w:rPr>
          <w:rFonts w:hint="default" w:ascii="Times New Roman" w:hAnsi="Times New Roman" w:eastAsia="宋体" w:cs="Times New Roman"/>
          <w:color w:val="auto"/>
          <w:sz w:val="24"/>
          <w:highlight w:val="none"/>
          <w:lang w:val="en-US" w:eastAsia="zh-CN"/>
        </w:rPr>
        <w:t>0887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0.1758</w:t>
      </w:r>
      <w:r>
        <w:rPr>
          <w:rFonts w:hint="default" w:ascii="Times New Roman" w:hAnsi="Times New Roman" w:eastAsia="宋体" w:cs="Times New Roman"/>
          <w:color w:val="auto"/>
          <w:sz w:val="24"/>
          <w:highlight w:val="none"/>
        </w:rPr>
        <w:t>μT之间；</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220kV升压站站址场界衰减断面监测结果测得的工频电场强度在</w:t>
      </w:r>
      <w:r>
        <w:rPr>
          <w:rFonts w:hint="default" w:ascii="Times New Roman" w:hAnsi="Times New Roman" w:eastAsia="宋体" w:cs="Times New Roman"/>
          <w:color w:val="auto"/>
          <w:sz w:val="24"/>
          <w:highlight w:val="none"/>
          <w:lang w:val="en-US" w:eastAsia="zh-CN"/>
        </w:rPr>
        <w:t>3.990~15.21</w:t>
      </w:r>
      <w:r>
        <w:rPr>
          <w:rFonts w:hint="default" w:ascii="Times New Roman" w:hAnsi="Times New Roman" w:eastAsia="宋体" w:cs="Times New Roman"/>
          <w:color w:val="auto"/>
          <w:sz w:val="24"/>
          <w:highlight w:val="none"/>
        </w:rPr>
        <w:t>V/m之间，工频磁感应强度在</w:t>
      </w:r>
      <w:r>
        <w:rPr>
          <w:rFonts w:hint="default" w:ascii="Times New Roman" w:hAnsi="Times New Roman" w:eastAsia="宋体" w:cs="Times New Roman"/>
          <w:color w:val="auto"/>
          <w:sz w:val="24"/>
          <w:highlight w:val="none"/>
          <w:lang w:val="en-US" w:eastAsia="zh-CN"/>
        </w:rPr>
        <w:t>0.0913~0.0954</w:t>
      </w:r>
      <w:r>
        <w:rPr>
          <w:rFonts w:hint="default" w:ascii="Times New Roman" w:hAnsi="Times New Roman" w:eastAsia="宋体" w:cs="Times New Roman"/>
          <w:color w:val="auto"/>
          <w:sz w:val="24"/>
          <w:highlight w:val="none"/>
        </w:rPr>
        <w:t>μT之间；工频电场强度、工频磁感应强度</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满足《电磁环境控制限值》（GB 8702-2014）中评价标准4000V/m、100μT的限值要求。</w:t>
      </w:r>
    </w:p>
    <w:p w14:paraId="29C3C067">
      <w:pPr>
        <w:keepNext/>
        <w:keepLines/>
        <w:spacing w:before="312" w:beforeLines="100" w:after="156" w:afterLines="50" w:line="480" w:lineRule="auto"/>
        <w:outlineLvl w:val="1"/>
        <w:rPr>
          <w:rFonts w:hint="default" w:ascii="Times New Roman" w:hAnsi="Times New Roman" w:eastAsia="宋体" w:cs="Times New Roman"/>
          <w:b/>
          <w:bCs/>
          <w:color w:val="auto"/>
          <w:sz w:val="32"/>
          <w:szCs w:val="32"/>
          <w:highlight w:val="none"/>
        </w:rPr>
      </w:pPr>
      <w:bookmarkStart w:id="348" w:name="_Toc8276"/>
      <w:r>
        <w:rPr>
          <w:rFonts w:hint="default" w:ascii="Times New Roman" w:hAnsi="Times New Roman" w:eastAsia="宋体" w:cs="Times New Roman"/>
          <w:b/>
          <w:bCs/>
          <w:color w:val="auto"/>
          <w:sz w:val="32"/>
          <w:szCs w:val="32"/>
          <w:highlight w:val="none"/>
        </w:rPr>
        <w:t>6、电磁辐射环境保护措施及监测计划</w:t>
      </w:r>
      <w:bookmarkEnd w:id="348"/>
    </w:p>
    <w:p w14:paraId="39561458">
      <w:pPr>
        <w:spacing w:line="360" w:lineRule="auto"/>
        <w:outlineLvl w:val="2"/>
        <w:rPr>
          <w:rFonts w:hint="default" w:ascii="Times New Roman" w:hAnsi="Times New Roman" w:eastAsia="宋体" w:cs="Times New Roman"/>
          <w:b/>
          <w:color w:val="auto"/>
          <w:sz w:val="24"/>
          <w:highlight w:val="none"/>
        </w:rPr>
      </w:pPr>
      <w:bookmarkStart w:id="349" w:name="_Toc6917"/>
      <w:r>
        <w:rPr>
          <w:rFonts w:hint="default" w:ascii="Times New Roman" w:hAnsi="Times New Roman" w:eastAsia="宋体" w:cs="Times New Roman"/>
          <w:b/>
          <w:color w:val="auto"/>
          <w:sz w:val="24"/>
          <w:highlight w:val="none"/>
        </w:rPr>
        <w:t>6.1 电磁环境保护措施</w:t>
      </w:r>
      <w:bookmarkEnd w:id="349"/>
    </w:p>
    <w:p w14:paraId="21D9307B">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bookmarkStart w:id="350" w:name="_Toc31667"/>
      <w:r>
        <w:rPr>
          <w:rFonts w:hint="default" w:ascii="Times New Roman" w:hAnsi="Times New Roman" w:eastAsia="宋体" w:cs="Times New Roman"/>
          <w:bCs/>
          <w:color w:val="auto"/>
          <w:sz w:val="24"/>
          <w:highlight w:val="none"/>
        </w:rPr>
        <w:t>（1）</w:t>
      </w:r>
      <w:r>
        <w:rPr>
          <w:rFonts w:hint="default" w:ascii="Times New Roman" w:hAnsi="Times New Roman" w:eastAsia="宋体" w:cs="Times New Roman"/>
          <w:bCs/>
          <w:color w:val="auto"/>
          <w:kern w:val="0"/>
          <w:sz w:val="24"/>
          <w:highlight w:val="none"/>
          <w:lang w:bidi="ar"/>
        </w:rPr>
        <w:t>升压站内电气设备采取集中布置方式，采取控制过电压、电磁感应场强水平的措施，如保证导体和电气设备之间的电气安全距离，选用具有低辐射、抗干扰能力的设备。</w:t>
      </w:r>
    </w:p>
    <w:p w14:paraId="1FCE11DB">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r>
        <w:rPr>
          <w:rFonts w:hint="default" w:ascii="Times New Roman" w:hAnsi="Times New Roman" w:eastAsia="宋体" w:cs="Times New Roman"/>
          <w:bCs/>
          <w:color w:val="auto"/>
          <w:sz w:val="24"/>
          <w:highlight w:val="none"/>
        </w:rPr>
        <w:t>（2）</w:t>
      </w:r>
      <w:r>
        <w:rPr>
          <w:rFonts w:hint="default" w:ascii="Times New Roman" w:hAnsi="Times New Roman" w:eastAsia="宋体" w:cs="Times New Roman"/>
          <w:bCs/>
          <w:color w:val="auto"/>
          <w:kern w:val="0"/>
          <w:sz w:val="24"/>
          <w:highlight w:val="none"/>
          <w:lang w:bidi="ar"/>
        </w:rPr>
        <w:t>合理选用各种电气设备及金属配件（如保护环、垫片、接头等），以减少高电位梯度点引起的放电。</w:t>
      </w:r>
    </w:p>
    <w:p w14:paraId="1BA5A821">
      <w:pPr>
        <w:spacing w:line="360" w:lineRule="auto"/>
        <w:ind w:firstLine="480" w:firstLineChars="200"/>
        <w:outlineLvl w:val="2"/>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在</w:t>
      </w:r>
      <w:r>
        <w:rPr>
          <w:rFonts w:hint="default" w:ascii="Times New Roman" w:hAnsi="Times New Roman" w:eastAsia="宋体" w:cs="Times New Roman"/>
          <w:bCs/>
          <w:color w:val="auto"/>
          <w:sz w:val="24"/>
          <w:highlight w:val="none"/>
          <w:lang w:val="en-US" w:eastAsia="zh-CN"/>
        </w:rPr>
        <w:t>变电站</w:t>
      </w:r>
      <w:r>
        <w:rPr>
          <w:rFonts w:hint="default" w:ascii="Times New Roman" w:hAnsi="Times New Roman" w:eastAsia="宋体" w:cs="Times New Roman"/>
          <w:bCs/>
          <w:color w:val="auto"/>
          <w:sz w:val="24"/>
          <w:highlight w:val="none"/>
        </w:rPr>
        <w:t>站址周围粘贴、悬挂各种警告、防护标识，避免意外事故。对当地群众进行有关高压设备方面的环境宣传工作，帮助群众建立环境保护意识和自我防护意识，减少在高压走廊内的停留时间</w:t>
      </w:r>
      <w:r>
        <w:rPr>
          <w:rFonts w:hint="default" w:ascii="Times New Roman" w:hAnsi="Times New Roman" w:eastAsia="宋体" w:cs="Times New Roman"/>
          <w:color w:val="auto"/>
          <w:kern w:val="2"/>
          <w:sz w:val="24"/>
          <w:szCs w:val="24"/>
          <w:highlight w:val="none"/>
          <w:lang w:val="en-US" w:eastAsia="zh-CN" w:bidi="ar-SA"/>
        </w:rPr>
        <w:t>。</w:t>
      </w:r>
    </w:p>
    <w:p w14:paraId="31CFB3BF">
      <w:pPr>
        <w:spacing w:line="360" w:lineRule="auto"/>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6.2 电磁环境监测计划</w:t>
      </w:r>
      <w:bookmarkEnd w:id="350"/>
    </w:p>
    <w:p w14:paraId="4E69E3E2">
      <w:pPr>
        <w:widowControl/>
        <w:spacing w:line="360" w:lineRule="auto"/>
        <w:ind w:firstLine="480" w:firstLineChars="200"/>
        <w:jc w:val="left"/>
        <w:rPr>
          <w:rFonts w:hint="default" w:ascii="Times New Roman" w:hAnsi="Times New Roman" w:eastAsia="宋体" w:cs="Times New Roman"/>
          <w:bCs/>
          <w:color w:val="auto"/>
          <w:kern w:val="0"/>
          <w:sz w:val="24"/>
          <w:highlight w:val="none"/>
          <w:lang w:bidi="ar"/>
        </w:rPr>
      </w:pPr>
      <w:r>
        <w:rPr>
          <w:rFonts w:hint="default" w:ascii="Times New Roman" w:hAnsi="Times New Roman" w:eastAsia="宋体" w:cs="Times New Roman"/>
          <w:bCs/>
          <w:color w:val="auto"/>
          <w:kern w:val="0"/>
          <w:sz w:val="24"/>
          <w:highlight w:val="none"/>
          <w:lang w:bidi="ar"/>
        </w:rPr>
        <w:t>根据项目的环境影响和环境管理要求，制定环境监测计划，环境监测计划的职责主要是测试、收集环境状况基本资料，整理、统计分析监测结果，上报本工程所在的县级至省级生态环境行政主管部门。由建设单位委托有资质的环境监测单位进行监测，具体的环境监测计划见表6-1。</w:t>
      </w:r>
    </w:p>
    <w:p w14:paraId="1B69B7F9">
      <w:pPr>
        <w:autoSpaceDE w:val="0"/>
        <w:autoSpaceDN w:val="0"/>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表6-1   监测计划一览表</w:t>
      </w:r>
    </w:p>
    <w:tbl>
      <w:tblPr>
        <w:tblStyle w:val="49"/>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7511"/>
      </w:tblGrid>
      <w:tr w14:paraId="46D1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42" w:type="pct"/>
            <w:shd w:val="clear" w:color="auto" w:fill="auto"/>
            <w:vAlign w:val="center"/>
          </w:tcPr>
          <w:p w14:paraId="52F32786">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监测因子</w:t>
            </w:r>
          </w:p>
        </w:tc>
        <w:tc>
          <w:tcPr>
            <w:tcW w:w="4357" w:type="pct"/>
            <w:shd w:val="clear" w:color="auto" w:fill="auto"/>
            <w:vAlign w:val="center"/>
          </w:tcPr>
          <w:p w14:paraId="57FA5D40">
            <w:pPr>
              <w:pStyle w:val="325"/>
              <w:keepNext w:val="0"/>
              <w:keepLines w:val="0"/>
              <w:pageBreakBefore w:val="0"/>
              <w:widowControl w:val="0"/>
              <w:kinsoku/>
              <w:wordWrap/>
              <w:overflowPunct/>
              <w:topLinePunct w:val="0"/>
              <w:autoSpaceDE w:val="0"/>
              <w:autoSpaceDN w:val="0"/>
              <w:bidi w:val="0"/>
              <w:adjustRightInd/>
              <w:snapToGrid/>
              <w:spacing w:line="312" w:lineRule="auto"/>
              <w:jc w:val="center"/>
              <w:textAlignment w:val="auto"/>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工频电场、工频磁场</w:t>
            </w:r>
          </w:p>
        </w:tc>
      </w:tr>
      <w:tr w14:paraId="2B94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642" w:type="pct"/>
            <w:vAlign w:val="center"/>
          </w:tcPr>
          <w:p w14:paraId="006CB67E">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升压站</w:t>
            </w:r>
            <w:r>
              <w:rPr>
                <w:rFonts w:hint="default" w:ascii="Times New Roman" w:hAnsi="Times New Roman" w:eastAsia="宋体" w:cs="Times New Roman"/>
                <w:color w:val="auto"/>
                <w:spacing w:val="0"/>
                <w:highlight w:val="none"/>
              </w:rPr>
              <w:t>监测点位</w:t>
            </w:r>
          </w:p>
        </w:tc>
        <w:tc>
          <w:tcPr>
            <w:tcW w:w="4357" w:type="pct"/>
            <w:vAlign w:val="center"/>
          </w:tcPr>
          <w:p w14:paraId="0041174D">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①</w:t>
            </w:r>
            <w:r>
              <w:rPr>
                <w:rFonts w:hint="default" w:ascii="Times New Roman" w:hAnsi="Times New Roman" w:eastAsia="宋体" w:cs="Times New Roman"/>
                <w:color w:val="auto"/>
                <w:spacing w:val="0"/>
                <w:highlight w:val="none"/>
                <w:lang w:val="en-US" w:eastAsia="zh-CN"/>
              </w:rPr>
              <w:t>于升压站</w:t>
            </w:r>
            <w:r>
              <w:rPr>
                <w:rFonts w:hint="default" w:ascii="Times New Roman" w:hAnsi="Times New Roman" w:eastAsia="宋体" w:cs="Times New Roman"/>
                <w:color w:val="auto"/>
                <w:spacing w:val="0"/>
                <w:highlight w:val="none"/>
              </w:rPr>
              <w:t>东、</w:t>
            </w:r>
            <w:r>
              <w:rPr>
                <w:rFonts w:hint="default" w:ascii="Times New Roman" w:hAnsi="Times New Roman" w:eastAsia="宋体" w:cs="Times New Roman"/>
                <w:color w:val="auto"/>
                <w:spacing w:val="0"/>
                <w:highlight w:val="none"/>
                <w:lang w:val="en-US" w:eastAsia="zh-CN"/>
              </w:rPr>
              <w:t>南、</w:t>
            </w:r>
            <w:r>
              <w:rPr>
                <w:rFonts w:hint="default" w:ascii="Times New Roman" w:hAnsi="Times New Roman" w:eastAsia="宋体" w:cs="Times New Roman"/>
                <w:color w:val="auto"/>
                <w:spacing w:val="0"/>
                <w:highlight w:val="none"/>
              </w:rPr>
              <w:t>西、北</w:t>
            </w:r>
            <w:r>
              <w:rPr>
                <w:rFonts w:hint="default" w:ascii="Times New Roman" w:hAnsi="Times New Roman" w:eastAsia="宋体" w:cs="Times New Roman"/>
                <w:color w:val="auto"/>
                <w:spacing w:val="0"/>
                <w:highlight w:val="none"/>
                <w:lang w:val="en-US" w:eastAsia="zh-CN"/>
              </w:rPr>
              <w:t>四侧</w:t>
            </w:r>
            <w:r>
              <w:rPr>
                <w:rFonts w:hint="default" w:ascii="Times New Roman" w:hAnsi="Times New Roman" w:eastAsia="宋体" w:cs="Times New Roman"/>
                <w:color w:val="auto"/>
                <w:spacing w:val="0"/>
                <w:highlight w:val="none"/>
              </w:rPr>
              <w:t>厂界5m处各设1个监测点位</w:t>
            </w:r>
            <w:r>
              <w:rPr>
                <w:rFonts w:hint="default" w:ascii="Times New Roman" w:hAnsi="Times New Roman" w:eastAsia="宋体" w:cs="Times New Roman"/>
                <w:color w:val="auto"/>
                <w:spacing w:val="0"/>
                <w:highlight w:val="none"/>
                <w:lang w:eastAsia="zh-CN"/>
              </w:rPr>
              <w:t>。</w:t>
            </w:r>
          </w:p>
          <w:p w14:paraId="37B1A48A">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②</w:t>
            </w:r>
            <w:r>
              <w:rPr>
                <w:rFonts w:hint="default" w:ascii="Times New Roman" w:hAnsi="Times New Roman" w:eastAsia="宋体" w:cs="Times New Roman"/>
                <w:color w:val="auto"/>
                <w:spacing w:val="0"/>
                <w:highlight w:val="none"/>
                <w:lang w:val="en-US" w:eastAsia="zh-CN"/>
              </w:rPr>
              <w:t>升压站</w:t>
            </w:r>
            <w:r>
              <w:rPr>
                <w:rFonts w:hint="default" w:ascii="Times New Roman" w:hAnsi="Times New Roman" w:eastAsia="宋体" w:cs="Times New Roman"/>
                <w:color w:val="auto"/>
                <w:spacing w:val="0"/>
                <w:highlight w:val="none"/>
              </w:rPr>
              <w:t>监测断面1处：围墙外</w:t>
            </w:r>
            <w:r>
              <w:rPr>
                <w:rFonts w:hint="default" w:ascii="Times New Roman" w:hAnsi="Times New Roman" w:eastAsia="宋体" w:cs="Times New Roman"/>
                <w:color w:val="auto"/>
                <w:spacing w:val="0"/>
                <w:highlight w:val="none"/>
                <w:lang w:val="en-US" w:eastAsia="zh-CN"/>
              </w:rPr>
              <w:t>1</w:t>
            </w:r>
            <w:r>
              <w:rPr>
                <w:rFonts w:hint="default" w:ascii="Times New Roman" w:hAnsi="Times New Roman" w:eastAsia="宋体" w:cs="Times New Roman"/>
                <w:color w:val="auto"/>
                <w:spacing w:val="0"/>
                <w:highlight w:val="none"/>
              </w:rPr>
              <w:t>m处起，每隔5m设1个监测点，测至背景值（或厂界50m）处止</w:t>
            </w:r>
            <w:r>
              <w:rPr>
                <w:rFonts w:hint="default" w:ascii="Times New Roman" w:hAnsi="Times New Roman" w:eastAsia="宋体" w:cs="Times New Roman"/>
                <w:color w:val="auto"/>
                <w:spacing w:val="0"/>
                <w:highlight w:val="none"/>
                <w:lang w:eastAsia="zh-CN"/>
              </w:rPr>
              <w:t>。</w:t>
            </w:r>
          </w:p>
        </w:tc>
      </w:tr>
      <w:tr w14:paraId="7253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642" w:type="pct"/>
            <w:vAlign w:val="center"/>
          </w:tcPr>
          <w:p w14:paraId="5DD7EA48">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监测频率</w:t>
            </w:r>
          </w:p>
        </w:tc>
        <w:tc>
          <w:tcPr>
            <w:tcW w:w="4357" w:type="pct"/>
            <w:vAlign w:val="center"/>
          </w:tcPr>
          <w:p w14:paraId="1BC68691">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①工程建成正式投产后第一年结合竣工环境保护验收监测一次</w:t>
            </w:r>
            <w:r>
              <w:rPr>
                <w:rFonts w:hint="default" w:ascii="Times New Roman" w:hAnsi="Times New Roman" w:eastAsia="宋体" w:cs="Times New Roman"/>
                <w:color w:val="auto"/>
                <w:spacing w:val="0"/>
                <w:highlight w:val="none"/>
                <w:lang w:eastAsia="zh-CN"/>
              </w:rPr>
              <w:t>。</w:t>
            </w:r>
          </w:p>
          <w:p w14:paraId="3AF65867">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②运行期间存在投诉或纠纷时进行监测</w:t>
            </w:r>
            <w:r>
              <w:rPr>
                <w:rFonts w:hint="default" w:ascii="Times New Roman" w:hAnsi="Times New Roman" w:eastAsia="宋体" w:cs="Times New Roman"/>
                <w:color w:val="auto"/>
                <w:spacing w:val="0"/>
                <w:highlight w:val="none"/>
                <w:lang w:eastAsia="zh-CN"/>
              </w:rPr>
              <w:t>。</w:t>
            </w:r>
          </w:p>
          <w:p w14:paraId="7B5129C0">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③例行环境监测计划或生态环境主管部门要求时进行监测。</w:t>
            </w:r>
          </w:p>
          <w:p w14:paraId="58BC275B">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④主变压器、母线设备等维修后，进行监测。</w:t>
            </w:r>
          </w:p>
        </w:tc>
      </w:tr>
      <w:tr w14:paraId="3338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2" w:type="pct"/>
            <w:vAlign w:val="center"/>
          </w:tcPr>
          <w:p w14:paraId="48B8C830">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监测要求</w:t>
            </w:r>
          </w:p>
        </w:tc>
        <w:tc>
          <w:tcPr>
            <w:tcW w:w="4357" w:type="pct"/>
            <w:vAlign w:val="center"/>
          </w:tcPr>
          <w:p w14:paraId="50EB723C">
            <w:pPr>
              <w:autoSpaceDE w:val="0"/>
              <w:autoSpaceDN w:val="0"/>
              <w:spacing w:line="360" w:lineRule="auto"/>
              <w:jc w:val="center"/>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按照竣工验收的要求进行监测。</w:t>
            </w:r>
          </w:p>
        </w:tc>
      </w:tr>
      <w:tr w14:paraId="7321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42" w:type="pct"/>
            <w:vAlign w:val="center"/>
          </w:tcPr>
          <w:p w14:paraId="00B6CF47">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监测方法</w:t>
            </w:r>
          </w:p>
        </w:tc>
        <w:tc>
          <w:tcPr>
            <w:tcW w:w="4357" w:type="pct"/>
            <w:vAlign w:val="center"/>
          </w:tcPr>
          <w:p w14:paraId="21AAC358">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根据《交流输变电工程电磁环境监测方法（试行）》（HJ681-2013）</w:t>
            </w:r>
            <w:r>
              <w:rPr>
                <w:rFonts w:hint="default" w:ascii="Times New Roman" w:hAnsi="Times New Roman" w:eastAsia="宋体" w:cs="Times New Roman"/>
                <w:color w:val="auto"/>
                <w:spacing w:val="0"/>
                <w:highlight w:val="none"/>
                <w:lang w:val="en-US" w:eastAsia="zh-CN"/>
              </w:rPr>
              <w:t>相关要求进行监测。</w:t>
            </w:r>
          </w:p>
        </w:tc>
      </w:tr>
      <w:tr w14:paraId="2C6A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42" w:type="pct"/>
            <w:vAlign w:val="center"/>
          </w:tcPr>
          <w:p w14:paraId="43BDE206">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监测依据</w:t>
            </w:r>
          </w:p>
        </w:tc>
        <w:tc>
          <w:tcPr>
            <w:tcW w:w="4357" w:type="pct"/>
            <w:vAlign w:val="center"/>
          </w:tcPr>
          <w:p w14:paraId="04CB6EF0">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《建设项目竣工环境保护验收技术规范 输变电》（HJ705-2020）</w:t>
            </w:r>
            <w:r>
              <w:rPr>
                <w:rFonts w:hint="default" w:ascii="Times New Roman" w:hAnsi="Times New Roman" w:eastAsia="宋体" w:cs="Times New Roman"/>
                <w:color w:val="auto"/>
                <w:spacing w:val="0"/>
                <w:highlight w:val="none"/>
                <w:lang w:eastAsia="zh-CN"/>
              </w:rPr>
              <w:t>。</w:t>
            </w:r>
          </w:p>
        </w:tc>
      </w:tr>
      <w:tr w14:paraId="255F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42" w:type="pct"/>
            <w:vAlign w:val="center"/>
          </w:tcPr>
          <w:p w14:paraId="01716600">
            <w:pPr>
              <w:pStyle w:val="325"/>
              <w:keepNext w:val="0"/>
              <w:keepLines w:val="0"/>
              <w:pageBreakBefore w:val="0"/>
              <w:widowControl w:val="0"/>
              <w:kinsoku/>
              <w:wordWrap/>
              <w:overflowPunct/>
              <w:topLinePunct w:val="0"/>
              <w:autoSpaceDE w:val="0"/>
              <w:autoSpaceDN w:val="0"/>
              <w:bidi w:val="0"/>
              <w:adjustRightInd/>
              <w:snapToGrid/>
              <w:spacing w:line="312"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应记录的工作条件</w:t>
            </w:r>
          </w:p>
        </w:tc>
        <w:tc>
          <w:tcPr>
            <w:tcW w:w="4357" w:type="pct"/>
            <w:vAlign w:val="center"/>
          </w:tcPr>
          <w:p w14:paraId="4D4CDA2D">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（1）时间、天气状况、温度和湿度</w:t>
            </w:r>
            <w:r>
              <w:rPr>
                <w:rFonts w:hint="default" w:ascii="Times New Roman" w:hAnsi="Times New Roman" w:eastAsia="宋体" w:cs="Times New Roman"/>
                <w:color w:val="auto"/>
                <w:spacing w:val="0"/>
                <w:highlight w:val="none"/>
                <w:lang w:eastAsia="zh-CN"/>
              </w:rPr>
              <w:t>。</w:t>
            </w:r>
          </w:p>
          <w:p w14:paraId="10F02062">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（2）设备名称、型号、工作状况</w:t>
            </w:r>
            <w:r>
              <w:rPr>
                <w:rFonts w:hint="default" w:ascii="Times New Roman" w:hAnsi="Times New Roman" w:eastAsia="宋体" w:cs="Times New Roman"/>
                <w:color w:val="auto"/>
                <w:spacing w:val="0"/>
                <w:highlight w:val="none"/>
                <w:lang w:eastAsia="zh-CN"/>
              </w:rPr>
              <w:t>。</w:t>
            </w:r>
          </w:p>
          <w:p w14:paraId="15E3B8C5">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（3）监测依据</w:t>
            </w:r>
            <w:r>
              <w:rPr>
                <w:rFonts w:hint="default" w:ascii="Times New Roman" w:hAnsi="Times New Roman" w:eastAsia="宋体" w:cs="Times New Roman"/>
                <w:color w:val="auto"/>
                <w:spacing w:val="0"/>
                <w:highlight w:val="none"/>
                <w:lang w:eastAsia="zh-CN"/>
              </w:rPr>
              <w:t>。</w:t>
            </w:r>
          </w:p>
          <w:p w14:paraId="0D8F4086">
            <w:pPr>
              <w:pStyle w:val="325"/>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（4）监测时</w:t>
            </w:r>
            <w:r>
              <w:rPr>
                <w:rFonts w:hint="default" w:ascii="Times New Roman" w:hAnsi="Times New Roman" w:eastAsia="宋体" w:cs="Times New Roman"/>
                <w:color w:val="auto"/>
                <w:spacing w:val="0"/>
                <w:highlight w:val="none"/>
                <w:lang w:val="en-US" w:eastAsia="zh-CN"/>
              </w:rPr>
              <w:t>变电站</w:t>
            </w:r>
            <w:r>
              <w:rPr>
                <w:rFonts w:hint="default" w:ascii="Times New Roman" w:hAnsi="Times New Roman" w:eastAsia="宋体" w:cs="Times New Roman"/>
                <w:color w:val="auto"/>
                <w:spacing w:val="0"/>
                <w:highlight w:val="none"/>
              </w:rPr>
              <w:t>工况情况，如监测时主变电流、电压大小等</w:t>
            </w:r>
            <w:r>
              <w:rPr>
                <w:rFonts w:hint="default" w:ascii="Times New Roman" w:hAnsi="Times New Roman" w:eastAsia="宋体" w:cs="Times New Roman"/>
                <w:color w:val="auto"/>
                <w:spacing w:val="0"/>
                <w:highlight w:val="none"/>
                <w:lang w:eastAsia="zh-CN"/>
              </w:rPr>
              <w:t>。</w:t>
            </w:r>
          </w:p>
        </w:tc>
      </w:tr>
      <w:tr w14:paraId="21D8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42" w:type="pct"/>
            <w:vAlign w:val="top"/>
          </w:tcPr>
          <w:p w14:paraId="45AF3F7B">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评价标准</w:t>
            </w:r>
          </w:p>
        </w:tc>
        <w:tc>
          <w:tcPr>
            <w:tcW w:w="4357" w:type="pct"/>
            <w:vAlign w:val="top"/>
          </w:tcPr>
          <w:p w14:paraId="107E9531">
            <w:pPr>
              <w:autoSpaceDE w:val="0"/>
              <w:autoSpaceDN w:val="0"/>
              <w:spacing w:line="360" w:lineRule="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kern w:val="0"/>
                <w:szCs w:val="21"/>
                <w:highlight w:val="none"/>
              </w:rPr>
              <w:t>工频电场和工频磁场均满足《电磁环境控制限值》（GB 8702-2014）规定要求。</w:t>
            </w:r>
          </w:p>
        </w:tc>
      </w:tr>
    </w:tbl>
    <w:p w14:paraId="351C6ABD">
      <w:pPr>
        <w:pStyle w:val="23"/>
        <w:outlineLvl w:val="9"/>
        <w:rPr>
          <w:rFonts w:hint="default" w:ascii="Times New Roman" w:hAnsi="Times New Roman" w:eastAsia="宋体" w:cs="Times New Roman"/>
          <w:color w:val="auto"/>
          <w:sz w:val="24"/>
          <w:szCs w:val="21"/>
          <w:highlight w:val="none"/>
        </w:rPr>
      </w:pPr>
    </w:p>
    <w:p w14:paraId="1F2866CC">
      <w:pPr>
        <w:pStyle w:val="45"/>
        <w:outlineLvl w:val="9"/>
        <w:rPr>
          <w:rFonts w:hint="default" w:ascii="Times New Roman" w:hAnsi="Times New Roman" w:eastAsia="宋体" w:cs="Times New Roman"/>
          <w:color w:val="auto"/>
          <w:sz w:val="24"/>
          <w:szCs w:val="21"/>
          <w:highlight w:val="none"/>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03EAA6C">
      <w:pPr>
        <w:keepNext/>
        <w:keepLines/>
        <w:spacing w:before="312" w:beforeLines="100" w:after="156" w:afterLines="50" w:line="480" w:lineRule="auto"/>
        <w:outlineLvl w:val="1"/>
        <w:rPr>
          <w:rFonts w:hint="default" w:ascii="Times New Roman" w:hAnsi="Times New Roman" w:eastAsia="宋体" w:cs="Times New Roman"/>
          <w:b/>
          <w:bCs/>
          <w:color w:val="auto"/>
          <w:sz w:val="32"/>
          <w:szCs w:val="32"/>
          <w:highlight w:val="none"/>
        </w:rPr>
      </w:pPr>
      <w:bookmarkStart w:id="351" w:name="_Toc19098"/>
      <w:r>
        <w:rPr>
          <w:rFonts w:hint="default" w:ascii="Times New Roman" w:hAnsi="Times New Roman" w:eastAsia="宋体" w:cs="Times New Roman"/>
          <w:b/>
          <w:bCs/>
          <w:color w:val="auto"/>
          <w:sz w:val="32"/>
          <w:szCs w:val="32"/>
          <w:highlight w:val="none"/>
        </w:rPr>
        <w:t>7、评价结论</w:t>
      </w:r>
      <w:bookmarkEnd w:id="351"/>
    </w:p>
    <w:p w14:paraId="250F229A">
      <w:pPr>
        <w:spacing w:line="360" w:lineRule="auto"/>
        <w:ind w:right="21" w:rightChars="1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本项目220kV升压站属于</w:t>
      </w:r>
      <w:r>
        <w:rPr>
          <w:rFonts w:hint="default" w:ascii="Times New Roman" w:hAnsi="Times New Roman" w:eastAsia="宋体" w:cs="Times New Roman"/>
          <w:color w:val="auto"/>
          <w:sz w:val="24"/>
          <w:szCs w:val="24"/>
          <w:highlight w:val="none"/>
          <w:lang w:eastAsia="zh-CN"/>
        </w:rPr>
        <w:t>中清能禄劝县岩子头200MW生态修复光伏电站项目</w:t>
      </w:r>
      <w:r>
        <w:rPr>
          <w:rFonts w:hint="default" w:ascii="Times New Roman" w:hAnsi="Times New Roman" w:eastAsia="宋体" w:cs="Times New Roman"/>
          <w:color w:val="auto"/>
          <w:sz w:val="24"/>
          <w:highlight w:val="none"/>
        </w:rPr>
        <w:t>的配套</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220kV</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szCs w:val="24"/>
          <w:highlight w:val="none"/>
          <w:u w:val="none"/>
        </w:rPr>
        <w:t>土建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主体</w:t>
      </w:r>
      <w:r>
        <w:rPr>
          <w:rFonts w:hint="default" w:ascii="Times New Roman" w:hAnsi="Times New Roman" w:eastAsia="宋体" w:cs="Times New Roman"/>
          <w:color w:val="auto"/>
          <w:sz w:val="24"/>
          <w:szCs w:val="24"/>
          <w:highlight w:val="none"/>
          <w:u w:val="none"/>
        </w:rPr>
        <w:t>工程及</w:t>
      </w:r>
      <w:r>
        <w:rPr>
          <w:rFonts w:hint="default" w:ascii="Times New Roman" w:hAnsi="Times New Roman" w:eastAsia="宋体" w:cs="Times New Roman"/>
          <w:color w:val="auto"/>
          <w:sz w:val="24"/>
          <w:szCs w:val="24"/>
          <w:highlight w:val="none"/>
          <w:u w:val="none"/>
          <w:lang w:val="en-US" w:eastAsia="zh-CN"/>
        </w:rPr>
        <w:t>相关</w:t>
      </w:r>
      <w:r>
        <w:rPr>
          <w:rFonts w:hint="default" w:ascii="Times New Roman" w:hAnsi="Times New Roman" w:eastAsia="宋体" w:cs="Times New Roman"/>
          <w:color w:val="auto"/>
          <w:sz w:val="24"/>
          <w:szCs w:val="24"/>
          <w:highlight w:val="none"/>
          <w:u w:val="none"/>
          <w:lang w:eastAsia="zh-CN"/>
        </w:rPr>
        <w:t>配套工程</w:t>
      </w:r>
      <w:r>
        <w:rPr>
          <w:rFonts w:hint="default" w:ascii="Times New Roman" w:hAnsi="Times New Roman" w:eastAsia="宋体" w:cs="Times New Roman"/>
          <w:color w:val="auto"/>
          <w:sz w:val="24"/>
          <w:szCs w:val="24"/>
          <w:highlight w:val="none"/>
          <w:u w:val="none"/>
          <w:lang w:val="en-US" w:eastAsia="zh-CN"/>
        </w:rPr>
        <w:t>等</w:t>
      </w:r>
      <w:r>
        <w:rPr>
          <w:rFonts w:hint="default" w:ascii="Times New Roman" w:hAnsi="Times New Roman" w:eastAsia="宋体" w:cs="Times New Roman"/>
          <w:color w:val="auto"/>
          <w:sz w:val="24"/>
          <w:szCs w:val="24"/>
          <w:highlight w:val="none"/>
          <w:lang w:val="en-US" w:eastAsia="zh-CN"/>
        </w:rPr>
        <w:t>内容已在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中清能禄劝县岩子头200MW生态修复光伏电站项目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kern w:val="0"/>
          <w:sz w:val="24"/>
          <w:szCs w:val="24"/>
          <w:highlight w:val="none"/>
          <w:lang w:val="en-US" w:eastAsia="zh-CN"/>
        </w:rPr>
        <w:t>》中进行评价，</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220kV升压站</w:t>
      </w:r>
      <w:r>
        <w:rPr>
          <w:rFonts w:hint="default" w:ascii="Times New Roman" w:hAnsi="Times New Roman" w:eastAsia="宋体" w:cs="Times New Roman"/>
          <w:color w:val="auto"/>
          <w:sz w:val="24"/>
          <w:highlight w:val="none"/>
          <w:lang w:val="en-US" w:eastAsia="zh-CN"/>
        </w:rPr>
        <w:t>已建</w:t>
      </w:r>
      <w:r>
        <w:rPr>
          <w:rFonts w:hint="default" w:ascii="Times New Roman" w:hAnsi="Times New Roman" w:eastAsia="宋体" w:cs="Times New Roman"/>
          <w:color w:val="auto"/>
          <w:sz w:val="24"/>
          <w:highlight w:val="none"/>
        </w:rPr>
        <w:t>主变容量为1×200MVA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本次按本期已建规模进行评价</w:t>
      </w:r>
      <w:r>
        <w:rPr>
          <w:rFonts w:hint="default" w:ascii="Times New Roman" w:hAnsi="Times New Roman" w:eastAsia="宋体" w:cs="Times New Roman"/>
          <w:color w:val="auto"/>
          <w:sz w:val="24"/>
          <w:highlight w:val="none"/>
        </w:rPr>
        <w:t>。</w:t>
      </w:r>
    </w:p>
    <w:p w14:paraId="63D63C7B">
      <w:pPr>
        <w:spacing w:line="360" w:lineRule="auto"/>
        <w:ind w:right="21" w:rightChars="1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根据电磁</w:t>
      </w:r>
      <w:r>
        <w:rPr>
          <w:rFonts w:hint="default" w:ascii="Times New Roman" w:hAnsi="Times New Roman" w:eastAsia="宋体" w:cs="Times New Roman"/>
          <w:color w:val="auto"/>
          <w:sz w:val="24"/>
          <w:highlight w:val="none"/>
          <w:lang w:val="en-US" w:eastAsia="zh-CN"/>
        </w:rPr>
        <w:t>环境</w:t>
      </w:r>
      <w:r>
        <w:rPr>
          <w:rFonts w:hint="default" w:ascii="Times New Roman" w:hAnsi="Times New Roman" w:eastAsia="宋体" w:cs="Times New Roman"/>
          <w:color w:val="auto"/>
          <w:sz w:val="24"/>
          <w:highlight w:val="none"/>
        </w:rPr>
        <w:t>现状监测，各监测点</w:t>
      </w:r>
      <w:r>
        <w:rPr>
          <w:rFonts w:hint="default" w:ascii="Times New Roman" w:hAnsi="Times New Roman" w:eastAsia="宋体" w:cs="Times New Roman"/>
          <w:color w:val="auto"/>
          <w:sz w:val="24"/>
          <w:highlight w:val="none"/>
          <w:lang w:val="en-US" w:eastAsia="zh-CN"/>
        </w:rPr>
        <w:t>位</w:t>
      </w:r>
      <w:r>
        <w:rPr>
          <w:rFonts w:hint="default" w:ascii="Times New Roman" w:hAnsi="Times New Roman" w:eastAsia="宋体" w:cs="Times New Roman"/>
          <w:color w:val="auto"/>
          <w:sz w:val="24"/>
          <w:highlight w:val="none"/>
        </w:rPr>
        <w:t>的工频电场强度监测值</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小于4000V/m，工频磁感应强度监测值</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小于100μT，工频电场和工频磁场均满足《电磁环境控制限值》（GB 8702-2014）</w:t>
      </w:r>
      <w:r>
        <w:rPr>
          <w:rFonts w:hint="default" w:ascii="Times New Roman" w:hAnsi="Times New Roman" w:eastAsia="宋体" w:cs="Times New Roman"/>
          <w:color w:val="auto"/>
          <w:sz w:val="24"/>
          <w:highlight w:val="none"/>
          <w:lang w:val="en-US" w:eastAsia="zh-CN"/>
        </w:rPr>
        <w:t>相关</w:t>
      </w:r>
      <w:r>
        <w:rPr>
          <w:rFonts w:hint="default" w:ascii="Times New Roman" w:hAnsi="Times New Roman" w:eastAsia="宋体" w:cs="Times New Roman"/>
          <w:color w:val="auto"/>
          <w:sz w:val="24"/>
          <w:highlight w:val="none"/>
        </w:rPr>
        <w:t>规定要求。</w:t>
      </w:r>
    </w:p>
    <w:p w14:paraId="5CFD58E5">
      <w:pPr>
        <w:spacing w:line="360" w:lineRule="auto"/>
        <w:ind w:right="21" w:rightChars="1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实测分析，</w:t>
      </w:r>
      <w:r>
        <w:rPr>
          <w:rFonts w:hint="default" w:ascii="Times New Roman" w:hAnsi="Times New Roman" w:eastAsia="宋体" w:cs="Times New Roman"/>
          <w:color w:val="auto"/>
          <w:sz w:val="24"/>
          <w:highlight w:val="none"/>
        </w:rPr>
        <w:t>本项目220kV升压站运行后，其产生的工频电场强度、工频磁感应强度能满足《电磁环境控制限值》（GB 8702-2014）</w:t>
      </w:r>
      <w:r>
        <w:rPr>
          <w:rFonts w:hint="default" w:ascii="Times New Roman" w:hAnsi="Times New Roman" w:eastAsia="宋体" w:cs="Times New Roman"/>
          <w:color w:val="auto"/>
          <w:sz w:val="24"/>
          <w:highlight w:val="none"/>
          <w:lang w:val="en-US" w:eastAsia="zh-CN"/>
        </w:rPr>
        <w:t>相关</w:t>
      </w:r>
      <w:r>
        <w:rPr>
          <w:rFonts w:hint="default" w:ascii="Times New Roman" w:hAnsi="Times New Roman" w:eastAsia="宋体" w:cs="Times New Roman"/>
          <w:color w:val="auto"/>
          <w:sz w:val="24"/>
          <w:highlight w:val="none"/>
        </w:rPr>
        <w:t>规定要求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即</w:t>
      </w:r>
      <w:r>
        <w:rPr>
          <w:rFonts w:hint="default" w:ascii="Times New Roman" w:hAnsi="Times New Roman" w:eastAsia="宋体" w:cs="Times New Roman"/>
          <w:color w:val="auto"/>
          <w:sz w:val="24"/>
          <w:highlight w:val="none"/>
        </w:rPr>
        <w:t>工频电场强度监测值</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小于4000V/m，工频磁感应强度监测值</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小于100μT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均可达标排放，</w:t>
      </w:r>
      <w:r>
        <w:rPr>
          <w:rFonts w:hint="default" w:ascii="Times New Roman" w:hAnsi="Times New Roman" w:eastAsia="宋体" w:cs="Times New Roman"/>
          <w:color w:val="auto"/>
          <w:sz w:val="24"/>
          <w:highlight w:val="none"/>
        </w:rPr>
        <w:t>对周边电磁环境影响较小。</w:t>
      </w:r>
    </w:p>
    <w:p w14:paraId="4362CC1C">
      <w:pPr>
        <w:spacing w:line="360" w:lineRule="auto"/>
        <w:ind w:right="21" w:rightChars="1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根据现场踏勘，本项目距离附近居民点较远，</w:t>
      </w:r>
      <w:r>
        <w:rPr>
          <w:rFonts w:hint="default" w:ascii="Times New Roman" w:hAnsi="Times New Roman" w:eastAsia="宋体" w:cs="Times New Roman"/>
          <w:color w:val="auto"/>
          <w:sz w:val="24"/>
          <w:highlight w:val="none"/>
          <w:lang w:val="en-US" w:eastAsia="zh-CN"/>
        </w:rPr>
        <w:t>本次电磁环境评价范围内无电磁环境敏感目标，</w:t>
      </w:r>
      <w:r>
        <w:rPr>
          <w:rFonts w:hint="default" w:ascii="Times New Roman" w:hAnsi="Times New Roman" w:eastAsia="宋体" w:cs="Times New Roman"/>
          <w:color w:val="auto"/>
          <w:sz w:val="24"/>
          <w:highlight w:val="none"/>
        </w:rPr>
        <w:t>工频电场强度和工频磁感应强度随距离衰减后，对附近</w:t>
      </w:r>
      <w:r>
        <w:rPr>
          <w:rFonts w:hint="default" w:ascii="Times New Roman" w:hAnsi="Times New Roman" w:eastAsia="宋体" w:cs="Times New Roman"/>
          <w:color w:val="auto"/>
          <w:sz w:val="24"/>
          <w:highlight w:val="none"/>
          <w:lang w:val="en-US" w:eastAsia="zh-CN"/>
        </w:rPr>
        <w:t>居民</w:t>
      </w:r>
      <w:r>
        <w:rPr>
          <w:rFonts w:hint="default" w:ascii="Times New Roman" w:hAnsi="Times New Roman" w:eastAsia="宋体" w:cs="Times New Roman"/>
          <w:color w:val="auto"/>
          <w:sz w:val="24"/>
          <w:highlight w:val="none"/>
        </w:rPr>
        <w:t>的影响较小。</w:t>
      </w:r>
    </w:p>
    <w:p w14:paraId="5A88CF02">
      <w:pPr>
        <w:tabs>
          <w:tab w:val="left" w:pos="3240"/>
        </w:tabs>
        <w:spacing w:line="360" w:lineRule="auto"/>
        <w:ind w:firstLine="420" w:firstLineChars="200"/>
        <w:rPr>
          <w:rFonts w:hint="default" w:ascii="Times New Roman" w:hAnsi="Times New Roman" w:eastAsia="宋体" w:cs="Times New Roman"/>
          <w:color w:val="auto"/>
          <w:highlight w:val="none"/>
          <w:lang w:eastAsia="zh-CN"/>
        </w:rPr>
      </w:pPr>
    </w:p>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modern"/>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7FFAEFF" w:usb1="F9DFFFFF" w:usb2="0000007F" w:usb3="00000000" w:csb0="203F01FF" w:csb1="DFFF0000"/>
  </w:font>
  <w:font w:name="Geneva">
    <w:altName w:val="Arial"/>
    <w:panose1 w:val="00000000000000000000"/>
    <w:charset w:val="00"/>
    <w:family w:val="swiss"/>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EA31">
    <w:pPr>
      <w:pStyle w:val="3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45CC3">
    <w:pPr>
      <w:pStyle w:val="3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2084F9">
                          <w:pPr>
                            <w:pStyle w:val="34"/>
                          </w:pPr>
                          <w:r>
                            <w:fldChar w:fldCharType="begin"/>
                          </w:r>
                          <w:r>
                            <w:instrText xml:space="preserve"> PAGE  \* MERGEFORMAT </w:instrText>
                          </w:r>
                          <w:r>
                            <w:fldChar w:fldCharType="separate"/>
                          </w:r>
                          <w:r>
                            <w:t>III</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C2084F9">
                    <w:pPr>
                      <w:pStyle w:val="34"/>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E002D">
    <w:pPr>
      <w:pStyle w:val="3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533905">
                          <w:pPr>
                            <w:pStyle w:val="3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w:t>
                          </w:r>
                          <w:r>
                            <w:rPr>
                              <w:b/>
                              <w:bCs/>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51533905">
                    <w:pPr>
                      <w:pStyle w:val="3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w:t>
                    </w:r>
                    <w:r>
                      <w:rPr>
                        <w:b/>
                        <w:bCs/>
                        <w:sz w:val="21"/>
                        <w:szCs w:val="21"/>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2F887">
    <w:pPr>
      <w:pStyle w:val="34"/>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0A355">
                          <w:pPr>
                            <w:pStyle w:val="3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w:t>
                          </w:r>
                          <w:r>
                            <w:rPr>
                              <w:b/>
                              <w:bCs/>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D80A355">
                    <w:pPr>
                      <w:pStyle w:val="3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w:t>
                    </w:r>
                    <w:r>
                      <w:rPr>
                        <w:b/>
                        <w:bCs/>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507D7">
    <w:pPr>
      <w:pStyle w:val="3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0BA67">
                          <w:pPr>
                            <w:pStyle w:val="34"/>
                            <w:jc w:val="center"/>
                          </w:pPr>
                          <w:r>
                            <w:fldChar w:fldCharType="begin"/>
                          </w:r>
                          <w:r>
                            <w:instrText xml:space="preserve">PAGE   \* MERGEFORMAT</w:instrText>
                          </w:r>
                          <w:r>
                            <w:fldChar w:fldCharType="separate"/>
                          </w:r>
                          <w:r>
                            <w:rPr>
                              <w:lang w:val="zh-CN"/>
                            </w:rP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1C0BA67">
                    <w:pPr>
                      <w:pStyle w:val="34"/>
                      <w:jc w:val="center"/>
                    </w:pPr>
                    <w:r>
                      <w:fldChar w:fldCharType="begin"/>
                    </w:r>
                    <w:r>
                      <w:instrText xml:space="preserve">PAGE   \* MERGEFORMAT</w:instrText>
                    </w:r>
                    <w:r>
                      <w:fldChar w:fldCharType="separate"/>
                    </w:r>
                    <w:r>
                      <w:rPr>
                        <w:lang w:val="zh-CN"/>
                      </w:rPr>
                      <w:t>158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365DD">
    <w:pPr>
      <w:pStyle w:val="3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64CD1">
                          <w:pPr>
                            <w:pStyle w:val="34"/>
                            <w:jc w:val="center"/>
                            <w:rPr>
                              <w:b/>
                              <w:bCs/>
                            </w:rPr>
                          </w:pPr>
                          <w:r>
                            <w:rPr>
                              <w:b/>
                              <w:bCs/>
                            </w:rPr>
                            <w:fldChar w:fldCharType="begin"/>
                          </w:r>
                          <w:r>
                            <w:rPr>
                              <w:b/>
                              <w:bCs/>
                            </w:rPr>
                            <w:instrText xml:space="preserve">PAGE   \* MERGEFORMAT</w:instrText>
                          </w:r>
                          <w:r>
                            <w:rPr>
                              <w:b/>
                              <w:bCs/>
                            </w:rPr>
                            <w:fldChar w:fldCharType="separate"/>
                          </w:r>
                          <w:r>
                            <w:rPr>
                              <w:b/>
                              <w:bCs/>
                              <w:lang w:val="zh-CN"/>
                            </w:rPr>
                            <w:t>158</w:t>
                          </w:r>
                          <w:r>
                            <w:rPr>
                              <w:b/>
                              <w:bC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2364CD1">
                    <w:pPr>
                      <w:pStyle w:val="34"/>
                      <w:jc w:val="center"/>
                      <w:rPr>
                        <w:b/>
                        <w:bCs/>
                      </w:rPr>
                    </w:pPr>
                    <w:r>
                      <w:rPr>
                        <w:b/>
                        <w:bCs/>
                      </w:rPr>
                      <w:fldChar w:fldCharType="begin"/>
                    </w:r>
                    <w:r>
                      <w:rPr>
                        <w:b/>
                        <w:bCs/>
                      </w:rPr>
                      <w:instrText xml:space="preserve">PAGE   \* MERGEFORMAT</w:instrText>
                    </w:r>
                    <w:r>
                      <w:rPr>
                        <w:b/>
                        <w:bCs/>
                      </w:rPr>
                      <w:fldChar w:fldCharType="separate"/>
                    </w:r>
                    <w:r>
                      <w:rPr>
                        <w:b/>
                        <w:bCs/>
                        <w:lang w:val="zh-CN"/>
                      </w:rPr>
                      <w:t>158</w:t>
                    </w:r>
                    <w:r>
                      <w:rPr>
                        <w:b/>
                        <w:bCs/>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B6CF3">
    <w:pPr>
      <w:pStyle w:val="3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6FF27">
                          <w:pPr>
                            <w:pStyle w:val="34"/>
                            <w:jc w:val="center"/>
                            <w:rPr>
                              <w:b/>
                              <w:bCs/>
                            </w:rPr>
                          </w:pPr>
                          <w:r>
                            <w:rPr>
                              <w:b/>
                              <w:bCs/>
                            </w:rPr>
                            <w:fldChar w:fldCharType="begin"/>
                          </w:r>
                          <w:r>
                            <w:rPr>
                              <w:b/>
                              <w:bCs/>
                            </w:rPr>
                            <w:instrText xml:space="preserve">PAGE   \* MERGEFORMAT</w:instrText>
                          </w:r>
                          <w:r>
                            <w:rPr>
                              <w:b/>
                              <w:bCs/>
                            </w:rPr>
                            <w:fldChar w:fldCharType="separate"/>
                          </w:r>
                          <w:r>
                            <w:rPr>
                              <w:b/>
                              <w:bCs/>
                              <w:lang w:val="zh-CN"/>
                            </w:rPr>
                            <w:t>158</w:t>
                          </w:r>
                          <w:r>
                            <w:rPr>
                              <w:b/>
                              <w:bC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876FF27">
                    <w:pPr>
                      <w:pStyle w:val="34"/>
                      <w:jc w:val="center"/>
                      <w:rPr>
                        <w:b/>
                        <w:bCs/>
                      </w:rPr>
                    </w:pPr>
                    <w:r>
                      <w:rPr>
                        <w:b/>
                        <w:bCs/>
                      </w:rPr>
                      <w:fldChar w:fldCharType="begin"/>
                    </w:r>
                    <w:r>
                      <w:rPr>
                        <w:b/>
                        <w:bCs/>
                      </w:rPr>
                      <w:instrText xml:space="preserve">PAGE   \* MERGEFORMAT</w:instrText>
                    </w:r>
                    <w:r>
                      <w:rPr>
                        <w:b/>
                        <w:bCs/>
                      </w:rPr>
                      <w:fldChar w:fldCharType="separate"/>
                    </w:r>
                    <w:r>
                      <w:rPr>
                        <w:b/>
                        <w:bCs/>
                        <w:lang w:val="zh-CN"/>
                      </w:rPr>
                      <w:t>158</w:t>
                    </w:r>
                    <w:r>
                      <w:rPr>
                        <w:b/>
                        <w:bCs/>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8EB67">
    <w:pPr>
      <w:pStyle w:val="34"/>
      <w:tabs>
        <w:tab w:val="center" w:pos="4252"/>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B7F9D">
                          <w:pPr>
                            <w:pStyle w:val="3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A8B7F9D">
                    <w:pPr>
                      <w:pStyle w:val="3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FA5B">
    <w:pPr>
      <w:pStyle w:val="34"/>
      <w:tabs>
        <w:tab w:val="center" w:pos="4252"/>
        <w:tab w:val="clear" w:pos="4153"/>
        <w:tab w:val="clear"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54E20">
    <w:pPr>
      <w:pStyle w:val="3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6B8CE">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wps:spPr>
                    <wps:txbx>
                      <w:txbxContent>
                        <w:p w14:paraId="6F97B2B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L3UTQAAAAAgEAAA8AAAAAAAAAAQAgAAAAIgAA&#10;AGRycy9kb3ducmV2LnhtbFBLAQIUABQAAAAIAIdO4kAZm73K1wEAAKEDAAAOAAAAAAAAAAEAIAAA&#10;AB8BAABkcnMvZTJvRG9jLnhtbFBLBQYAAAAABgAGAFkBAABoBQAAAAA=&#10;">
              <v:fill on="f" focussize="0,0"/>
              <v:stroke on="f"/>
              <v:imagedata o:title=""/>
              <o:lock v:ext="edit" aspectratio="f"/>
              <v:textbox inset="0mm,0mm,0mm,0mm" style="mso-fit-shape-to-text:t;">
                <w:txbxContent>
                  <w:p w14:paraId="6F97B2B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F662">
    <w:pPr>
      <w:pStyle w:val="3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B22AD">
                          <w:pPr>
                            <w:pStyle w:val="3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40B22AD">
                    <w:pPr>
                      <w:pStyle w:val="3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9882D">
    <w:pPr>
      <w:pStyle w:val="35"/>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4257"/>
    <w:multiLevelType w:val="singleLevel"/>
    <w:tmpl w:val="14824257"/>
    <w:lvl w:ilvl="0" w:tentative="0">
      <w:start w:val="1"/>
      <w:numFmt w:val="chineseCounting"/>
      <w:suff w:val="nothing"/>
      <w:lvlText w:val="%1、"/>
      <w:lvlJc w:val="left"/>
      <w:rPr>
        <w:rFonts w:hint="eastAsia"/>
      </w:rPr>
    </w:lvl>
  </w:abstractNum>
  <w:abstractNum w:abstractNumId="1">
    <w:nsid w:val="1A1B3BEB"/>
    <w:multiLevelType w:val="multilevel"/>
    <w:tmpl w:val="1A1B3BEB"/>
    <w:lvl w:ilvl="0" w:tentative="0">
      <w:start w:val="1"/>
      <w:numFmt w:val="decimal"/>
      <w:isLgl/>
      <w:lvlText w:val="%1"/>
      <w:lvlJc w:val="left"/>
      <w:pPr>
        <w:tabs>
          <w:tab w:val="left" w:pos="284"/>
        </w:tabs>
        <w:ind w:left="0" w:firstLine="0"/>
      </w:pPr>
      <w:rPr>
        <w:rFonts w:hint="default" w:ascii="Times New Roman" w:hAnsi="Times New Roman" w:eastAsia="黑体"/>
        <w:b w:val="0"/>
        <w:bCs/>
        <w:i w:val="0"/>
        <w:caps w:val="0"/>
        <w:strike w:val="0"/>
        <w:dstrike w:val="0"/>
        <w:snapToGrid w:val="0"/>
        <w:vanish w:val="0"/>
        <w:color w:val="auto"/>
        <w:spacing w:val="0"/>
        <w:w w:val="100"/>
        <w:kern w:val="0"/>
        <w:position w:val="0"/>
        <w:sz w:val="36"/>
        <w:vertAlign w:val="baseline"/>
      </w:rPr>
    </w:lvl>
    <w:lvl w:ilvl="1" w:tentative="0">
      <w:start w:val="1"/>
      <w:numFmt w:val="decimal"/>
      <w:lvlText w:val="%1.%2"/>
      <w:lvlJc w:val="left"/>
      <w:pPr>
        <w:tabs>
          <w:tab w:val="left" w:pos="284"/>
        </w:tabs>
        <w:ind w:left="0" w:firstLine="0"/>
      </w:pPr>
      <w:rPr>
        <w:rFonts w:hint="default" w:ascii="黑体" w:hAnsi="黑体" w:eastAsia="黑体" w:cs="Times New Roman"/>
        <w:b w:val="0"/>
        <w:bCs/>
        <w:i w:val="0"/>
        <w:iCs w:val="0"/>
        <w:caps w:val="0"/>
        <w:smallCaps w:val="0"/>
        <w:strike w:val="0"/>
        <w:dstrike w:val="0"/>
        <w:snapToGrid w:val="0"/>
        <w:vanish w:val="0"/>
        <w:spacing w:val="0"/>
        <w:w w:val="100"/>
        <w:kern w:val="0"/>
        <w:position w:val="0"/>
        <w:sz w:val="30"/>
        <w:u w:val="none"/>
        <w:vertAlign w:val="baseline"/>
      </w:rPr>
    </w:lvl>
    <w:lvl w:ilvl="2" w:tentative="0">
      <w:start w:val="1"/>
      <w:numFmt w:val="decimal"/>
      <w:pStyle w:val="331"/>
      <w:suff w:val="space"/>
      <w:lvlText w:val="%1.%2.%3"/>
      <w:lvlJc w:val="left"/>
      <w:pPr>
        <w:ind w:left="0" w:firstLine="0"/>
      </w:pPr>
      <w:rPr>
        <w:rFonts w:hint="default" w:ascii="Arial" w:hAnsi="Arial" w:eastAsia="仿宋_GB2312" w:cs="Times New Roman"/>
        <w:b w:val="0"/>
        <w:bCs/>
        <w:i w:val="0"/>
        <w:iCs w:val="0"/>
        <w:caps w:val="0"/>
        <w:smallCaps w:val="0"/>
        <w:strike w:val="0"/>
        <w:dstrike w:val="0"/>
        <w:snapToGrid w:val="0"/>
        <w:vanish w:val="0"/>
        <w:spacing w:val="0"/>
        <w:kern w:val="0"/>
        <w:position w:val="0"/>
        <w:sz w:val="24"/>
        <w:u w:val="none"/>
        <w:vertAlign w:val="baseline"/>
      </w:rPr>
    </w:lvl>
    <w:lvl w:ilvl="3" w:tentative="0">
      <w:start w:val="1"/>
      <w:numFmt w:val="decimal"/>
      <w:suff w:val="space"/>
      <w:lvlText w:val="%1.%2.%3.%4"/>
      <w:lvlJc w:val="left"/>
      <w:pPr>
        <w:ind w:left="0" w:firstLine="0"/>
      </w:pPr>
      <w:rPr>
        <w:rFonts w:hint="default" w:ascii="Arial" w:hAnsi="Arial" w:eastAsia="仿宋_GB2312" w:cs="Times New Roman"/>
        <w:b w:val="0"/>
        <w:bCs/>
        <w:i w:val="0"/>
        <w:iCs w:val="0"/>
        <w:caps w:val="0"/>
        <w:smallCaps w:val="0"/>
        <w:strike w:val="0"/>
        <w:dstrike w:val="0"/>
        <w:snapToGrid w:val="0"/>
        <w:vanish w:val="0"/>
        <w:spacing w:val="0"/>
        <w:kern w:val="0"/>
        <w:position w:val="0"/>
        <w:sz w:val="24"/>
        <w:u w:val="none"/>
        <w:vertAlign w:val="baseline"/>
      </w:rPr>
    </w:lvl>
    <w:lvl w:ilvl="4" w:tentative="0">
      <w:start w:val="1"/>
      <w:numFmt w:val="decimal"/>
      <w:suff w:val="space"/>
      <w:lvlText w:val="%1.%2.%3.%4.%5"/>
      <w:lvlJc w:val="left"/>
      <w:pPr>
        <w:ind w:left="0" w:firstLine="0"/>
      </w:pPr>
      <w:rPr>
        <w:rFonts w:hint="default" w:ascii="Times New Roman" w:hAnsi="Times New Roman" w:eastAsia="楷体_GB2312"/>
        <w:b/>
        <w:i w:val="0"/>
        <w:caps w:val="0"/>
        <w:strike w:val="0"/>
        <w:dstrike w:val="0"/>
        <w:snapToGrid w:val="0"/>
        <w:vanish w:val="0"/>
        <w:color w:val="auto"/>
        <w:spacing w:val="0"/>
        <w:w w:val="100"/>
        <w:kern w:val="0"/>
        <w:position w:val="0"/>
        <w:sz w:val="24"/>
        <w:vertAlign w:val="baseline"/>
      </w:rPr>
    </w:lvl>
    <w:lvl w:ilvl="5" w:tentative="0">
      <w:start w:val="1"/>
      <w:numFmt w:val="decimal"/>
      <w:lvlText w:val="%1.%2.%3.%4.%5.%6"/>
      <w:lvlJc w:val="left"/>
      <w:pPr>
        <w:tabs>
          <w:tab w:val="left" w:pos="284"/>
        </w:tabs>
        <w:ind w:left="0" w:firstLine="0"/>
      </w:pPr>
      <w:rPr>
        <w:rFonts w:hint="default" w:ascii="Times New Roman" w:hAnsi="Times New Roman" w:eastAsia="宋体"/>
        <w:b w:val="0"/>
        <w:i w:val="0"/>
        <w:caps w:val="0"/>
        <w:strike w:val="0"/>
        <w:dstrike w:val="0"/>
        <w:snapToGrid w:val="0"/>
        <w:vanish w:val="0"/>
        <w:color w:val="000000"/>
        <w:spacing w:val="0"/>
        <w:w w:val="100"/>
        <w:kern w:val="0"/>
        <w:position w:val="0"/>
        <w:vertAlign w:val="baseline"/>
      </w:rPr>
    </w:lvl>
    <w:lvl w:ilvl="6" w:tentative="0">
      <w:start w:val="1"/>
      <w:numFmt w:val="decimal"/>
      <w:lvlText w:val="%1.%2.%3.%4.%5.%6.%7"/>
      <w:lvlJc w:val="left"/>
      <w:pPr>
        <w:tabs>
          <w:tab w:val="left" w:pos="284"/>
        </w:tabs>
        <w:ind w:left="0" w:firstLine="0"/>
      </w:pPr>
      <w:rPr>
        <w:rFonts w:hint="eastAsia"/>
      </w:rPr>
    </w:lvl>
    <w:lvl w:ilvl="7" w:tentative="0">
      <w:start w:val="1"/>
      <w:numFmt w:val="decimal"/>
      <w:lvlRestart w:val="2"/>
      <w:lvlText w:val="表%1.%2-%8"/>
      <w:lvlJc w:val="left"/>
      <w:pPr>
        <w:tabs>
          <w:tab w:val="left" w:pos="284"/>
        </w:tabs>
        <w:ind w:left="0" w:firstLine="0"/>
      </w:pPr>
      <w:rPr>
        <w:rFonts w:hint="default" w:ascii="黑体" w:hAnsi="黑体" w:eastAsia="黑体" w:cs="Times New Roman"/>
        <w:b w:val="0"/>
        <w:bCs/>
        <w:i w:val="0"/>
        <w:iCs w:val="0"/>
        <w:caps w:val="0"/>
        <w:smallCaps w:val="0"/>
        <w:strike w:val="0"/>
        <w:dstrike w:val="0"/>
        <w:snapToGrid w:val="0"/>
        <w:vanish w:val="0"/>
        <w:spacing w:val="0"/>
        <w:kern w:val="0"/>
        <w:position w:val="0"/>
        <w:sz w:val="24"/>
        <w:szCs w:val="24"/>
        <w:u w:val="none"/>
        <w:vertAlign w:val="baseline"/>
      </w:rPr>
    </w:lvl>
    <w:lvl w:ilvl="8" w:tentative="0">
      <w:start w:val="1"/>
      <w:numFmt w:val="decimal"/>
      <w:lvlRestart w:val="2"/>
      <w:lvlText w:val="图%1.%2-%9"/>
      <w:lvlJc w:val="left"/>
      <w:pPr>
        <w:tabs>
          <w:tab w:val="left" w:pos="284"/>
        </w:tabs>
        <w:ind w:left="0" w:firstLine="0"/>
      </w:pPr>
      <w:rPr>
        <w:rFonts w:hint="default" w:ascii="黑体" w:hAnsi="黑体" w:eastAsia="黑体"/>
        <w:b w:val="0"/>
        <w:bCs/>
        <w:i w:val="0"/>
        <w:iCs w:val="0"/>
        <w:caps w:val="0"/>
        <w:smallCaps w:val="0"/>
        <w:strike w:val="0"/>
        <w:dstrike w:val="0"/>
        <w:vanish w:val="0"/>
        <w:spacing w:val="0"/>
        <w:kern w:val="0"/>
        <w:position w:val="0"/>
        <w:sz w:val="24"/>
        <w:szCs w:val="24"/>
        <w:u w:val="none"/>
        <w:vertAlign w:val="baseline"/>
      </w:rPr>
    </w:lvl>
  </w:abstractNum>
  <w:abstractNum w:abstractNumId="2">
    <w:nsid w:val="4E402DD4"/>
    <w:multiLevelType w:val="singleLevel"/>
    <w:tmpl w:val="4E402DD4"/>
    <w:lvl w:ilvl="0" w:tentative="0">
      <w:start w:val="1"/>
      <w:numFmt w:val="decimal"/>
      <w:suff w:val="nothing"/>
      <w:lvlText w:val="%1、"/>
      <w:lvlJc w:val="left"/>
    </w:lvl>
  </w:abstractNum>
  <w:abstractNum w:abstractNumId="3">
    <w:nsid w:val="4E6BB5B3"/>
    <w:multiLevelType w:val="singleLevel"/>
    <w:tmpl w:val="4E6BB5B3"/>
    <w:lvl w:ilvl="0" w:tentative="0">
      <w:start w:val="2"/>
      <w:numFmt w:val="chineseCounting"/>
      <w:suff w:val="nothing"/>
      <w:lvlText w:val="%1、"/>
      <w:lvlJc w:val="left"/>
      <w:rPr>
        <w:rFonts w:hint="eastAsia"/>
      </w:rPr>
    </w:lvl>
  </w:abstractNum>
  <w:abstractNum w:abstractNumId="4">
    <w:nsid w:val="66D8434B"/>
    <w:multiLevelType w:val="multilevel"/>
    <w:tmpl w:val="66D8434B"/>
    <w:lvl w:ilvl="0" w:tentative="0">
      <w:start w:val="1"/>
      <w:numFmt w:val="decimal"/>
      <w:suff w:val="nothing"/>
      <w:lvlText w:val="（%1）"/>
      <w:lvlJc w:val="left"/>
      <w:pPr>
        <w:ind w:left="1570" w:hanging="720"/>
        <w:textAlignment w:val="baseline"/>
      </w:pPr>
      <w:rPr>
        <w:lang w:val="en-US"/>
      </w:rPr>
    </w:lvl>
    <w:lvl w:ilvl="1" w:tentative="0">
      <w:start w:val="1"/>
      <w:numFmt w:val="lowerLetter"/>
      <w:lvlText w:val="%1)"/>
      <w:lvlJc w:val="left"/>
      <w:pPr>
        <w:ind w:left="1690" w:hanging="420"/>
        <w:textAlignment w:val="baseline"/>
      </w:pPr>
    </w:lvl>
    <w:lvl w:ilvl="2" w:tentative="0">
      <w:start w:val="1"/>
      <w:numFmt w:val="lowerRoman"/>
      <w:lvlText w:val="%1."/>
      <w:lvlJc w:val="right"/>
      <w:pPr>
        <w:ind w:left="2110" w:hanging="420"/>
        <w:textAlignment w:val="baseline"/>
      </w:pPr>
    </w:lvl>
    <w:lvl w:ilvl="3" w:tentative="0">
      <w:start w:val="1"/>
      <w:numFmt w:val="decimal"/>
      <w:lvlText w:val="%1."/>
      <w:lvlJc w:val="left"/>
      <w:pPr>
        <w:ind w:left="2530" w:hanging="420"/>
        <w:textAlignment w:val="baseline"/>
      </w:pPr>
    </w:lvl>
    <w:lvl w:ilvl="4" w:tentative="0">
      <w:start w:val="1"/>
      <w:numFmt w:val="lowerLetter"/>
      <w:lvlText w:val="%1)"/>
      <w:lvlJc w:val="left"/>
      <w:pPr>
        <w:ind w:left="2950" w:hanging="420"/>
        <w:textAlignment w:val="baseline"/>
      </w:pPr>
    </w:lvl>
    <w:lvl w:ilvl="5" w:tentative="0">
      <w:start w:val="1"/>
      <w:numFmt w:val="lowerRoman"/>
      <w:lvlText w:val="%1."/>
      <w:lvlJc w:val="right"/>
      <w:pPr>
        <w:ind w:left="3370" w:hanging="420"/>
        <w:textAlignment w:val="baseline"/>
      </w:pPr>
    </w:lvl>
    <w:lvl w:ilvl="6" w:tentative="0">
      <w:start w:val="1"/>
      <w:numFmt w:val="decimal"/>
      <w:lvlText w:val="%1."/>
      <w:lvlJc w:val="left"/>
      <w:pPr>
        <w:ind w:left="3790" w:hanging="420"/>
        <w:textAlignment w:val="baseline"/>
      </w:pPr>
    </w:lvl>
    <w:lvl w:ilvl="7" w:tentative="0">
      <w:start w:val="1"/>
      <w:numFmt w:val="lowerLetter"/>
      <w:lvlText w:val="%1)"/>
      <w:lvlJc w:val="left"/>
      <w:pPr>
        <w:ind w:left="4210" w:hanging="420"/>
        <w:textAlignment w:val="baseline"/>
      </w:pPr>
    </w:lvl>
    <w:lvl w:ilvl="8" w:tentative="0">
      <w:start w:val="1"/>
      <w:numFmt w:val="lowerRoman"/>
      <w:lvlText w:val="%1."/>
      <w:lvlJc w:val="right"/>
      <w:pPr>
        <w:ind w:left="4630" w:hanging="420"/>
        <w:textAlignment w:val="baseline"/>
      </w:pPr>
    </w:lvl>
  </w:abstractNum>
  <w:abstractNum w:abstractNumId="5">
    <w:nsid w:val="6DC5FF89"/>
    <w:multiLevelType w:val="singleLevel"/>
    <w:tmpl w:val="6DC5FF89"/>
    <w:lvl w:ilvl="0" w:tentative="0">
      <w:start w:val="5"/>
      <w:numFmt w:val="decimal"/>
      <w:suff w:val="nothing"/>
      <w:lvlText w:val="（%1）"/>
      <w:lvlJc w:val="left"/>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iMDMxMWRkY2Q5ZjVlYjIxMWUxYjFmODY4NDFlMDQifQ=="/>
    <w:docVar w:name="KSO_WPS_MARK_KEY" w:val="295ba457-67ce-462c-b497-86506357c730"/>
  </w:docVars>
  <w:rsids>
    <w:rsidRoot w:val="00172A27"/>
    <w:rsid w:val="00000994"/>
    <w:rsid w:val="00002405"/>
    <w:rsid w:val="00004441"/>
    <w:rsid w:val="00006A7F"/>
    <w:rsid w:val="00007FEF"/>
    <w:rsid w:val="00012369"/>
    <w:rsid w:val="00014E77"/>
    <w:rsid w:val="000162EC"/>
    <w:rsid w:val="00016D76"/>
    <w:rsid w:val="00030FCD"/>
    <w:rsid w:val="00034F3E"/>
    <w:rsid w:val="000400DF"/>
    <w:rsid w:val="000427FA"/>
    <w:rsid w:val="00043AEC"/>
    <w:rsid w:val="00044910"/>
    <w:rsid w:val="0004648B"/>
    <w:rsid w:val="000523A7"/>
    <w:rsid w:val="00053996"/>
    <w:rsid w:val="00053E94"/>
    <w:rsid w:val="00054BE5"/>
    <w:rsid w:val="0006111A"/>
    <w:rsid w:val="00065EED"/>
    <w:rsid w:val="0007068E"/>
    <w:rsid w:val="00070C7F"/>
    <w:rsid w:val="00071A08"/>
    <w:rsid w:val="000772A8"/>
    <w:rsid w:val="0008105C"/>
    <w:rsid w:val="00086588"/>
    <w:rsid w:val="000A0799"/>
    <w:rsid w:val="000A431D"/>
    <w:rsid w:val="000A65AE"/>
    <w:rsid w:val="000A72BC"/>
    <w:rsid w:val="000A785C"/>
    <w:rsid w:val="000B284F"/>
    <w:rsid w:val="000B4592"/>
    <w:rsid w:val="000B5CF1"/>
    <w:rsid w:val="000B6E13"/>
    <w:rsid w:val="000C1612"/>
    <w:rsid w:val="000C1751"/>
    <w:rsid w:val="000C3485"/>
    <w:rsid w:val="000C35DD"/>
    <w:rsid w:val="000C671C"/>
    <w:rsid w:val="000C7022"/>
    <w:rsid w:val="000D0685"/>
    <w:rsid w:val="000D13DE"/>
    <w:rsid w:val="000D167C"/>
    <w:rsid w:val="000D197A"/>
    <w:rsid w:val="000D2747"/>
    <w:rsid w:val="000D4DC7"/>
    <w:rsid w:val="000E2E33"/>
    <w:rsid w:val="000E338D"/>
    <w:rsid w:val="000E57A1"/>
    <w:rsid w:val="000E5FE5"/>
    <w:rsid w:val="000F0A72"/>
    <w:rsid w:val="000F114B"/>
    <w:rsid w:val="000F1D02"/>
    <w:rsid w:val="000F1D47"/>
    <w:rsid w:val="000F3505"/>
    <w:rsid w:val="000F3EEF"/>
    <w:rsid w:val="000F750E"/>
    <w:rsid w:val="00101C5F"/>
    <w:rsid w:val="0010533E"/>
    <w:rsid w:val="00106C9D"/>
    <w:rsid w:val="00107461"/>
    <w:rsid w:val="00110D06"/>
    <w:rsid w:val="0011261B"/>
    <w:rsid w:val="00112E69"/>
    <w:rsid w:val="00114B21"/>
    <w:rsid w:val="00115571"/>
    <w:rsid w:val="00115CB3"/>
    <w:rsid w:val="0011691B"/>
    <w:rsid w:val="00120F4F"/>
    <w:rsid w:val="00121ED4"/>
    <w:rsid w:val="00125A9B"/>
    <w:rsid w:val="00127EC0"/>
    <w:rsid w:val="00131692"/>
    <w:rsid w:val="00133AC2"/>
    <w:rsid w:val="0013652F"/>
    <w:rsid w:val="00137505"/>
    <w:rsid w:val="001421A0"/>
    <w:rsid w:val="00144ED7"/>
    <w:rsid w:val="001472F7"/>
    <w:rsid w:val="00154255"/>
    <w:rsid w:val="001544D0"/>
    <w:rsid w:val="00157763"/>
    <w:rsid w:val="001600B4"/>
    <w:rsid w:val="00161135"/>
    <w:rsid w:val="001648A3"/>
    <w:rsid w:val="00172A27"/>
    <w:rsid w:val="001772BF"/>
    <w:rsid w:val="001809EF"/>
    <w:rsid w:val="001809F5"/>
    <w:rsid w:val="00181003"/>
    <w:rsid w:val="00183EA2"/>
    <w:rsid w:val="001857D3"/>
    <w:rsid w:val="001862C2"/>
    <w:rsid w:val="0018717B"/>
    <w:rsid w:val="00191614"/>
    <w:rsid w:val="00192392"/>
    <w:rsid w:val="001942F4"/>
    <w:rsid w:val="001960B0"/>
    <w:rsid w:val="00196CE2"/>
    <w:rsid w:val="00197239"/>
    <w:rsid w:val="001A37C2"/>
    <w:rsid w:val="001A5FC4"/>
    <w:rsid w:val="001B30AD"/>
    <w:rsid w:val="001B45E9"/>
    <w:rsid w:val="001B4EA9"/>
    <w:rsid w:val="001B5B0E"/>
    <w:rsid w:val="001B7461"/>
    <w:rsid w:val="001B7F3C"/>
    <w:rsid w:val="001C0AFC"/>
    <w:rsid w:val="001C0D83"/>
    <w:rsid w:val="001C2899"/>
    <w:rsid w:val="001C514B"/>
    <w:rsid w:val="001C5CD4"/>
    <w:rsid w:val="001C76BD"/>
    <w:rsid w:val="001D2368"/>
    <w:rsid w:val="001D2E69"/>
    <w:rsid w:val="001D343D"/>
    <w:rsid w:val="001D5819"/>
    <w:rsid w:val="001E316B"/>
    <w:rsid w:val="001E5A3B"/>
    <w:rsid w:val="001E5BB5"/>
    <w:rsid w:val="001F11CF"/>
    <w:rsid w:val="001F1BB5"/>
    <w:rsid w:val="001F45F1"/>
    <w:rsid w:val="001F7283"/>
    <w:rsid w:val="00200378"/>
    <w:rsid w:val="00201109"/>
    <w:rsid w:val="00201B42"/>
    <w:rsid w:val="00201EAE"/>
    <w:rsid w:val="00202AAA"/>
    <w:rsid w:val="00202BB0"/>
    <w:rsid w:val="002039A1"/>
    <w:rsid w:val="00204095"/>
    <w:rsid w:val="0021173A"/>
    <w:rsid w:val="00213EB1"/>
    <w:rsid w:val="00217048"/>
    <w:rsid w:val="002279DD"/>
    <w:rsid w:val="00227FBB"/>
    <w:rsid w:val="00233839"/>
    <w:rsid w:val="002347E9"/>
    <w:rsid w:val="00235D22"/>
    <w:rsid w:val="00236A8C"/>
    <w:rsid w:val="00236F4F"/>
    <w:rsid w:val="002379F0"/>
    <w:rsid w:val="00240FC7"/>
    <w:rsid w:val="002410F1"/>
    <w:rsid w:val="00247900"/>
    <w:rsid w:val="00252792"/>
    <w:rsid w:val="00253416"/>
    <w:rsid w:val="00254E43"/>
    <w:rsid w:val="00255726"/>
    <w:rsid w:val="0026261D"/>
    <w:rsid w:val="0026307A"/>
    <w:rsid w:val="002642D9"/>
    <w:rsid w:val="00267498"/>
    <w:rsid w:val="00270F07"/>
    <w:rsid w:val="0027255D"/>
    <w:rsid w:val="00272AAF"/>
    <w:rsid w:val="00273B10"/>
    <w:rsid w:val="00274A02"/>
    <w:rsid w:val="0027598F"/>
    <w:rsid w:val="002770BA"/>
    <w:rsid w:val="00277397"/>
    <w:rsid w:val="0027770B"/>
    <w:rsid w:val="002800C9"/>
    <w:rsid w:val="00280DCC"/>
    <w:rsid w:val="002852BE"/>
    <w:rsid w:val="002918FB"/>
    <w:rsid w:val="002949B6"/>
    <w:rsid w:val="002A20BE"/>
    <w:rsid w:val="002A4B89"/>
    <w:rsid w:val="002A5159"/>
    <w:rsid w:val="002B0172"/>
    <w:rsid w:val="002B0450"/>
    <w:rsid w:val="002B05F3"/>
    <w:rsid w:val="002B2E95"/>
    <w:rsid w:val="002B42CA"/>
    <w:rsid w:val="002B6408"/>
    <w:rsid w:val="002C1928"/>
    <w:rsid w:val="002D1738"/>
    <w:rsid w:val="002D4E1D"/>
    <w:rsid w:val="002D6012"/>
    <w:rsid w:val="002D7D5D"/>
    <w:rsid w:val="002E08E4"/>
    <w:rsid w:val="002E194C"/>
    <w:rsid w:val="002E2956"/>
    <w:rsid w:val="002E2FB0"/>
    <w:rsid w:val="002E4852"/>
    <w:rsid w:val="002F1750"/>
    <w:rsid w:val="002F7385"/>
    <w:rsid w:val="00300D1A"/>
    <w:rsid w:val="003038F0"/>
    <w:rsid w:val="00305D68"/>
    <w:rsid w:val="0030749F"/>
    <w:rsid w:val="00312317"/>
    <w:rsid w:val="0031418E"/>
    <w:rsid w:val="00314949"/>
    <w:rsid w:val="00320F31"/>
    <w:rsid w:val="00321DDA"/>
    <w:rsid w:val="00325D1D"/>
    <w:rsid w:val="003274E5"/>
    <w:rsid w:val="00332B2A"/>
    <w:rsid w:val="00332C7F"/>
    <w:rsid w:val="003356D8"/>
    <w:rsid w:val="003375F3"/>
    <w:rsid w:val="00337A35"/>
    <w:rsid w:val="00337AAC"/>
    <w:rsid w:val="003423C8"/>
    <w:rsid w:val="00343502"/>
    <w:rsid w:val="00343A17"/>
    <w:rsid w:val="0034530A"/>
    <w:rsid w:val="00345B88"/>
    <w:rsid w:val="00346FA3"/>
    <w:rsid w:val="003531E9"/>
    <w:rsid w:val="003550F6"/>
    <w:rsid w:val="003610C2"/>
    <w:rsid w:val="0036575A"/>
    <w:rsid w:val="0037369F"/>
    <w:rsid w:val="0037392A"/>
    <w:rsid w:val="00373E06"/>
    <w:rsid w:val="00384E47"/>
    <w:rsid w:val="003866E0"/>
    <w:rsid w:val="0039501D"/>
    <w:rsid w:val="00395488"/>
    <w:rsid w:val="0039634C"/>
    <w:rsid w:val="003A1DB3"/>
    <w:rsid w:val="003A7D58"/>
    <w:rsid w:val="003B40A3"/>
    <w:rsid w:val="003B6711"/>
    <w:rsid w:val="003B707E"/>
    <w:rsid w:val="003C2AFE"/>
    <w:rsid w:val="003C6A00"/>
    <w:rsid w:val="003D0D5C"/>
    <w:rsid w:val="003D0E8A"/>
    <w:rsid w:val="003D354B"/>
    <w:rsid w:val="003D66D3"/>
    <w:rsid w:val="003E1843"/>
    <w:rsid w:val="003E475C"/>
    <w:rsid w:val="003E7641"/>
    <w:rsid w:val="003F027F"/>
    <w:rsid w:val="003F2905"/>
    <w:rsid w:val="003F292A"/>
    <w:rsid w:val="003F43B7"/>
    <w:rsid w:val="003F5B82"/>
    <w:rsid w:val="00400546"/>
    <w:rsid w:val="004031FC"/>
    <w:rsid w:val="00410478"/>
    <w:rsid w:val="00416253"/>
    <w:rsid w:val="0042084D"/>
    <w:rsid w:val="00424630"/>
    <w:rsid w:val="00427AD9"/>
    <w:rsid w:val="00432C04"/>
    <w:rsid w:val="00440774"/>
    <w:rsid w:val="00440C34"/>
    <w:rsid w:val="00442A0E"/>
    <w:rsid w:val="00442AD8"/>
    <w:rsid w:val="004464CA"/>
    <w:rsid w:val="004478F8"/>
    <w:rsid w:val="00450335"/>
    <w:rsid w:val="00452F55"/>
    <w:rsid w:val="00453687"/>
    <w:rsid w:val="0045459D"/>
    <w:rsid w:val="00455702"/>
    <w:rsid w:val="00461A84"/>
    <w:rsid w:val="00461C7E"/>
    <w:rsid w:val="0046278C"/>
    <w:rsid w:val="004631D2"/>
    <w:rsid w:val="004645E2"/>
    <w:rsid w:val="00465111"/>
    <w:rsid w:val="00465337"/>
    <w:rsid w:val="004656B7"/>
    <w:rsid w:val="0046594F"/>
    <w:rsid w:val="00467F4B"/>
    <w:rsid w:val="00470E27"/>
    <w:rsid w:val="004720CB"/>
    <w:rsid w:val="004737BA"/>
    <w:rsid w:val="00474DF9"/>
    <w:rsid w:val="00475DA8"/>
    <w:rsid w:val="00476CD5"/>
    <w:rsid w:val="00477318"/>
    <w:rsid w:val="0048021C"/>
    <w:rsid w:val="00482CC8"/>
    <w:rsid w:val="00482E18"/>
    <w:rsid w:val="0048541F"/>
    <w:rsid w:val="00485699"/>
    <w:rsid w:val="0048571F"/>
    <w:rsid w:val="004875ED"/>
    <w:rsid w:val="0049114D"/>
    <w:rsid w:val="00491761"/>
    <w:rsid w:val="00492628"/>
    <w:rsid w:val="00494130"/>
    <w:rsid w:val="004956A3"/>
    <w:rsid w:val="004A322B"/>
    <w:rsid w:val="004A384A"/>
    <w:rsid w:val="004A799B"/>
    <w:rsid w:val="004B11EC"/>
    <w:rsid w:val="004B135B"/>
    <w:rsid w:val="004B3AB2"/>
    <w:rsid w:val="004B4058"/>
    <w:rsid w:val="004B6B5A"/>
    <w:rsid w:val="004C1695"/>
    <w:rsid w:val="004C4277"/>
    <w:rsid w:val="004C4830"/>
    <w:rsid w:val="004C55E3"/>
    <w:rsid w:val="004C762D"/>
    <w:rsid w:val="004C7865"/>
    <w:rsid w:val="004D1398"/>
    <w:rsid w:val="004D71DE"/>
    <w:rsid w:val="004D7625"/>
    <w:rsid w:val="004E28C4"/>
    <w:rsid w:val="004E586B"/>
    <w:rsid w:val="004E5D33"/>
    <w:rsid w:val="004E771D"/>
    <w:rsid w:val="004F11AA"/>
    <w:rsid w:val="004F165B"/>
    <w:rsid w:val="004F23B8"/>
    <w:rsid w:val="004F32CC"/>
    <w:rsid w:val="004F6B69"/>
    <w:rsid w:val="004F75AB"/>
    <w:rsid w:val="005025BC"/>
    <w:rsid w:val="00513AC0"/>
    <w:rsid w:val="00515E30"/>
    <w:rsid w:val="005172A7"/>
    <w:rsid w:val="005177C4"/>
    <w:rsid w:val="005204C8"/>
    <w:rsid w:val="00523A5B"/>
    <w:rsid w:val="00533385"/>
    <w:rsid w:val="005417A4"/>
    <w:rsid w:val="00543A86"/>
    <w:rsid w:val="00544980"/>
    <w:rsid w:val="00544EA1"/>
    <w:rsid w:val="0055044D"/>
    <w:rsid w:val="00557070"/>
    <w:rsid w:val="00557770"/>
    <w:rsid w:val="00560067"/>
    <w:rsid w:val="005602C2"/>
    <w:rsid w:val="00561014"/>
    <w:rsid w:val="0056344E"/>
    <w:rsid w:val="00563AAF"/>
    <w:rsid w:val="00574C8A"/>
    <w:rsid w:val="00575C77"/>
    <w:rsid w:val="0057745E"/>
    <w:rsid w:val="00580A97"/>
    <w:rsid w:val="0058212B"/>
    <w:rsid w:val="00587BB2"/>
    <w:rsid w:val="00591C40"/>
    <w:rsid w:val="005927BE"/>
    <w:rsid w:val="005975F7"/>
    <w:rsid w:val="005A0D91"/>
    <w:rsid w:val="005B5236"/>
    <w:rsid w:val="005B5E7E"/>
    <w:rsid w:val="005B6018"/>
    <w:rsid w:val="005C0A55"/>
    <w:rsid w:val="005C29B4"/>
    <w:rsid w:val="005C319C"/>
    <w:rsid w:val="005C642E"/>
    <w:rsid w:val="005C65BC"/>
    <w:rsid w:val="005C762F"/>
    <w:rsid w:val="005D49BE"/>
    <w:rsid w:val="005D49F6"/>
    <w:rsid w:val="005D7620"/>
    <w:rsid w:val="005E03F8"/>
    <w:rsid w:val="005E10C4"/>
    <w:rsid w:val="005F481F"/>
    <w:rsid w:val="006037BB"/>
    <w:rsid w:val="006043B3"/>
    <w:rsid w:val="006071F9"/>
    <w:rsid w:val="0061105E"/>
    <w:rsid w:val="00612A2A"/>
    <w:rsid w:val="00613D13"/>
    <w:rsid w:val="0061484C"/>
    <w:rsid w:val="00617E86"/>
    <w:rsid w:val="00622B84"/>
    <w:rsid w:val="00622D7D"/>
    <w:rsid w:val="006303CD"/>
    <w:rsid w:val="006312FE"/>
    <w:rsid w:val="00632CB3"/>
    <w:rsid w:val="006361B9"/>
    <w:rsid w:val="00650DAB"/>
    <w:rsid w:val="00651D7A"/>
    <w:rsid w:val="00652A9F"/>
    <w:rsid w:val="00655114"/>
    <w:rsid w:val="0065716D"/>
    <w:rsid w:val="00665B78"/>
    <w:rsid w:val="00665BAD"/>
    <w:rsid w:val="00667004"/>
    <w:rsid w:val="00672F53"/>
    <w:rsid w:val="00673665"/>
    <w:rsid w:val="00676FCA"/>
    <w:rsid w:val="006777C4"/>
    <w:rsid w:val="006831C5"/>
    <w:rsid w:val="00683228"/>
    <w:rsid w:val="00683F9E"/>
    <w:rsid w:val="00685055"/>
    <w:rsid w:val="0068660F"/>
    <w:rsid w:val="0068662D"/>
    <w:rsid w:val="00687FBA"/>
    <w:rsid w:val="0069039F"/>
    <w:rsid w:val="00693619"/>
    <w:rsid w:val="006948BD"/>
    <w:rsid w:val="00694908"/>
    <w:rsid w:val="006951C0"/>
    <w:rsid w:val="0069524E"/>
    <w:rsid w:val="006963C0"/>
    <w:rsid w:val="006A2EA2"/>
    <w:rsid w:val="006A37E9"/>
    <w:rsid w:val="006A5D76"/>
    <w:rsid w:val="006B11E9"/>
    <w:rsid w:val="006B50B9"/>
    <w:rsid w:val="006B6D1F"/>
    <w:rsid w:val="006B7ACC"/>
    <w:rsid w:val="006C0B8D"/>
    <w:rsid w:val="006C0C86"/>
    <w:rsid w:val="006C416B"/>
    <w:rsid w:val="006C575B"/>
    <w:rsid w:val="006C73B1"/>
    <w:rsid w:val="006C7B24"/>
    <w:rsid w:val="006D0529"/>
    <w:rsid w:val="006D1016"/>
    <w:rsid w:val="006D55E2"/>
    <w:rsid w:val="006D7DEB"/>
    <w:rsid w:val="006E105C"/>
    <w:rsid w:val="006E14C4"/>
    <w:rsid w:val="006E5752"/>
    <w:rsid w:val="006E6D84"/>
    <w:rsid w:val="006F4477"/>
    <w:rsid w:val="00702C0A"/>
    <w:rsid w:val="0070454E"/>
    <w:rsid w:val="007055E9"/>
    <w:rsid w:val="00707505"/>
    <w:rsid w:val="00707D60"/>
    <w:rsid w:val="00711204"/>
    <w:rsid w:val="00712E27"/>
    <w:rsid w:val="00714241"/>
    <w:rsid w:val="00715044"/>
    <w:rsid w:val="00715AB2"/>
    <w:rsid w:val="00715F19"/>
    <w:rsid w:val="00724D8A"/>
    <w:rsid w:val="0072574F"/>
    <w:rsid w:val="00731E9F"/>
    <w:rsid w:val="00732599"/>
    <w:rsid w:val="007341EB"/>
    <w:rsid w:val="0073669E"/>
    <w:rsid w:val="007409DF"/>
    <w:rsid w:val="007418EE"/>
    <w:rsid w:val="00745126"/>
    <w:rsid w:val="00747AAE"/>
    <w:rsid w:val="0075394C"/>
    <w:rsid w:val="007558F9"/>
    <w:rsid w:val="00756E2C"/>
    <w:rsid w:val="00765844"/>
    <w:rsid w:val="00766A4D"/>
    <w:rsid w:val="007673AA"/>
    <w:rsid w:val="0076770E"/>
    <w:rsid w:val="0076775B"/>
    <w:rsid w:val="00767F54"/>
    <w:rsid w:val="007709C2"/>
    <w:rsid w:val="0077229D"/>
    <w:rsid w:val="00781AC8"/>
    <w:rsid w:val="0078282C"/>
    <w:rsid w:val="0078450C"/>
    <w:rsid w:val="00790009"/>
    <w:rsid w:val="007924AD"/>
    <w:rsid w:val="0079470D"/>
    <w:rsid w:val="007969FD"/>
    <w:rsid w:val="007A0AB8"/>
    <w:rsid w:val="007A33AC"/>
    <w:rsid w:val="007A46CD"/>
    <w:rsid w:val="007B244A"/>
    <w:rsid w:val="007B466C"/>
    <w:rsid w:val="007B4865"/>
    <w:rsid w:val="007B48DE"/>
    <w:rsid w:val="007C0E15"/>
    <w:rsid w:val="007C60E2"/>
    <w:rsid w:val="007C619E"/>
    <w:rsid w:val="007D355A"/>
    <w:rsid w:val="007D6A53"/>
    <w:rsid w:val="007D7B91"/>
    <w:rsid w:val="007E08FD"/>
    <w:rsid w:val="007E3678"/>
    <w:rsid w:val="007F6D8C"/>
    <w:rsid w:val="0080146F"/>
    <w:rsid w:val="00802C2D"/>
    <w:rsid w:val="00802E3E"/>
    <w:rsid w:val="0080479F"/>
    <w:rsid w:val="00805462"/>
    <w:rsid w:val="00812C16"/>
    <w:rsid w:val="0081609E"/>
    <w:rsid w:val="00817017"/>
    <w:rsid w:val="00817C72"/>
    <w:rsid w:val="008225D8"/>
    <w:rsid w:val="00825933"/>
    <w:rsid w:val="00827606"/>
    <w:rsid w:val="00831FA3"/>
    <w:rsid w:val="00842D23"/>
    <w:rsid w:val="00842F4A"/>
    <w:rsid w:val="0084343D"/>
    <w:rsid w:val="00844048"/>
    <w:rsid w:val="00846DA9"/>
    <w:rsid w:val="008501A1"/>
    <w:rsid w:val="00852501"/>
    <w:rsid w:val="00854632"/>
    <w:rsid w:val="00854A0A"/>
    <w:rsid w:val="00856C59"/>
    <w:rsid w:val="00860AA5"/>
    <w:rsid w:val="00863C11"/>
    <w:rsid w:val="00873BA9"/>
    <w:rsid w:val="0087459A"/>
    <w:rsid w:val="008747D8"/>
    <w:rsid w:val="00876D3A"/>
    <w:rsid w:val="00877475"/>
    <w:rsid w:val="00880987"/>
    <w:rsid w:val="00882ABC"/>
    <w:rsid w:val="0088563A"/>
    <w:rsid w:val="008857E3"/>
    <w:rsid w:val="00886374"/>
    <w:rsid w:val="00886A5B"/>
    <w:rsid w:val="00892278"/>
    <w:rsid w:val="00897CD0"/>
    <w:rsid w:val="008A19D3"/>
    <w:rsid w:val="008B22F5"/>
    <w:rsid w:val="008B5608"/>
    <w:rsid w:val="008C4B38"/>
    <w:rsid w:val="008C65CA"/>
    <w:rsid w:val="008D04FA"/>
    <w:rsid w:val="008D0EF8"/>
    <w:rsid w:val="008D1E39"/>
    <w:rsid w:val="008D288A"/>
    <w:rsid w:val="008D5E1B"/>
    <w:rsid w:val="008F2408"/>
    <w:rsid w:val="008F5FE4"/>
    <w:rsid w:val="00903D5F"/>
    <w:rsid w:val="00906370"/>
    <w:rsid w:val="009071B2"/>
    <w:rsid w:val="00920E03"/>
    <w:rsid w:val="00922914"/>
    <w:rsid w:val="00922BF9"/>
    <w:rsid w:val="00923FC1"/>
    <w:rsid w:val="00925B56"/>
    <w:rsid w:val="00925F5E"/>
    <w:rsid w:val="00926982"/>
    <w:rsid w:val="00927390"/>
    <w:rsid w:val="0092776B"/>
    <w:rsid w:val="00936E06"/>
    <w:rsid w:val="009373F8"/>
    <w:rsid w:val="00942405"/>
    <w:rsid w:val="00942795"/>
    <w:rsid w:val="00942FF7"/>
    <w:rsid w:val="00944DDE"/>
    <w:rsid w:val="009463F9"/>
    <w:rsid w:val="00946681"/>
    <w:rsid w:val="00953544"/>
    <w:rsid w:val="009549C9"/>
    <w:rsid w:val="00957027"/>
    <w:rsid w:val="00963273"/>
    <w:rsid w:val="00966354"/>
    <w:rsid w:val="00966A4C"/>
    <w:rsid w:val="00967E5D"/>
    <w:rsid w:val="0097132E"/>
    <w:rsid w:val="0097145E"/>
    <w:rsid w:val="0097234B"/>
    <w:rsid w:val="00982F44"/>
    <w:rsid w:val="00984CC9"/>
    <w:rsid w:val="00985BE2"/>
    <w:rsid w:val="00985D97"/>
    <w:rsid w:val="00987F04"/>
    <w:rsid w:val="00991FD4"/>
    <w:rsid w:val="009942F3"/>
    <w:rsid w:val="00997E13"/>
    <w:rsid w:val="009A5DC4"/>
    <w:rsid w:val="009A77DC"/>
    <w:rsid w:val="009B1799"/>
    <w:rsid w:val="009B52FC"/>
    <w:rsid w:val="009B6276"/>
    <w:rsid w:val="009B63A4"/>
    <w:rsid w:val="009C0FBE"/>
    <w:rsid w:val="009C1A6F"/>
    <w:rsid w:val="009C47BA"/>
    <w:rsid w:val="009D1A99"/>
    <w:rsid w:val="009D2F84"/>
    <w:rsid w:val="009D30AD"/>
    <w:rsid w:val="009E4B20"/>
    <w:rsid w:val="009E7E62"/>
    <w:rsid w:val="009F3CFA"/>
    <w:rsid w:val="009F4575"/>
    <w:rsid w:val="009F6352"/>
    <w:rsid w:val="009F67F0"/>
    <w:rsid w:val="009F7E15"/>
    <w:rsid w:val="00A010BF"/>
    <w:rsid w:val="00A052B5"/>
    <w:rsid w:val="00A108A4"/>
    <w:rsid w:val="00A174BA"/>
    <w:rsid w:val="00A34EB9"/>
    <w:rsid w:val="00A3634D"/>
    <w:rsid w:val="00A412B1"/>
    <w:rsid w:val="00A4459C"/>
    <w:rsid w:val="00A50A70"/>
    <w:rsid w:val="00A52AB0"/>
    <w:rsid w:val="00A53BA5"/>
    <w:rsid w:val="00A556DA"/>
    <w:rsid w:val="00A576A5"/>
    <w:rsid w:val="00A63E21"/>
    <w:rsid w:val="00A6529F"/>
    <w:rsid w:val="00A73F60"/>
    <w:rsid w:val="00A7477F"/>
    <w:rsid w:val="00A74DE9"/>
    <w:rsid w:val="00A76B23"/>
    <w:rsid w:val="00A77424"/>
    <w:rsid w:val="00A813D3"/>
    <w:rsid w:val="00A81CA3"/>
    <w:rsid w:val="00A82B2F"/>
    <w:rsid w:val="00A86D9A"/>
    <w:rsid w:val="00A9269D"/>
    <w:rsid w:val="00A92B79"/>
    <w:rsid w:val="00A97086"/>
    <w:rsid w:val="00AA2FE6"/>
    <w:rsid w:val="00AA7B3D"/>
    <w:rsid w:val="00AB3483"/>
    <w:rsid w:val="00AB5575"/>
    <w:rsid w:val="00AC0B7C"/>
    <w:rsid w:val="00AD2E92"/>
    <w:rsid w:val="00AD3BAE"/>
    <w:rsid w:val="00AD3FDF"/>
    <w:rsid w:val="00AD7254"/>
    <w:rsid w:val="00AE2DDA"/>
    <w:rsid w:val="00B026D7"/>
    <w:rsid w:val="00B048DA"/>
    <w:rsid w:val="00B0507A"/>
    <w:rsid w:val="00B0623F"/>
    <w:rsid w:val="00B0722B"/>
    <w:rsid w:val="00B10372"/>
    <w:rsid w:val="00B10906"/>
    <w:rsid w:val="00B1152C"/>
    <w:rsid w:val="00B15542"/>
    <w:rsid w:val="00B15AFC"/>
    <w:rsid w:val="00B16F4D"/>
    <w:rsid w:val="00B16F56"/>
    <w:rsid w:val="00B202A3"/>
    <w:rsid w:val="00B214E1"/>
    <w:rsid w:val="00B24D03"/>
    <w:rsid w:val="00B25F64"/>
    <w:rsid w:val="00B30A36"/>
    <w:rsid w:val="00B31517"/>
    <w:rsid w:val="00B3446D"/>
    <w:rsid w:val="00B3516F"/>
    <w:rsid w:val="00B3565B"/>
    <w:rsid w:val="00B356FE"/>
    <w:rsid w:val="00B376A2"/>
    <w:rsid w:val="00B40D9C"/>
    <w:rsid w:val="00B42CAB"/>
    <w:rsid w:val="00B474C3"/>
    <w:rsid w:val="00B47E00"/>
    <w:rsid w:val="00B5391A"/>
    <w:rsid w:val="00B5397C"/>
    <w:rsid w:val="00B62B32"/>
    <w:rsid w:val="00B65A8D"/>
    <w:rsid w:val="00B665A6"/>
    <w:rsid w:val="00B711DE"/>
    <w:rsid w:val="00B74B09"/>
    <w:rsid w:val="00B753C7"/>
    <w:rsid w:val="00B75EC3"/>
    <w:rsid w:val="00B87D57"/>
    <w:rsid w:val="00B903D8"/>
    <w:rsid w:val="00B95857"/>
    <w:rsid w:val="00B95DA0"/>
    <w:rsid w:val="00BA0E8E"/>
    <w:rsid w:val="00BA152E"/>
    <w:rsid w:val="00BA4918"/>
    <w:rsid w:val="00BA57D9"/>
    <w:rsid w:val="00BA6226"/>
    <w:rsid w:val="00BA6334"/>
    <w:rsid w:val="00BB402E"/>
    <w:rsid w:val="00BB4EE6"/>
    <w:rsid w:val="00BB680D"/>
    <w:rsid w:val="00BC2A27"/>
    <w:rsid w:val="00BC2AEC"/>
    <w:rsid w:val="00BC2E92"/>
    <w:rsid w:val="00BC4FFE"/>
    <w:rsid w:val="00BC6C0E"/>
    <w:rsid w:val="00BC7060"/>
    <w:rsid w:val="00BC7B39"/>
    <w:rsid w:val="00BD1490"/>
    <w:rsid w:val="00BD4980"/>
    <w:rsid w:val="00BE2B63"/>
    <w:rsid w:val="00BE656E"/>
    <w:rsid w:val="00BE6617"/>
    <w:rsid w:val="00BF07CD"/>
    <w:rsid w:val="00BF0E19"/>
    <w:rsid w:val="00BF12E7"/>
    <w:rsid w:val="00BF13C6"/>
    <w:rsid w:val="00BF2D58"/>
    <w:rsid w:val="00BF50E3"/>
    <w:rsid w:val="00C00122"/>
    <w:rsid w:val="00C02055"/>
    <w:rsid w:val="00C0453D"/>
    <w:rsid w:val="00C0531D"/>
    <w:rsid w:val="00C11098"/>
    <w:rsid w:val="00C12150"/>
    <w:rsid w:val="00C1368E"/>
    <w:rsid w:val="00C145F9"/>
    <w:rsid w:val="00C23985"/>
    <w:rsid w:val="00C25D4B"/>
    <w:rsid w:val="00C307C6"/>
    <w:rsid w:val="00C349F1"/>
    <w:rsid w:val="00C35C89"/>
    <w:rsid w:val="00C42594"/>
    <w:rsid w:val="00C4488C"/>
    <w:rsid w:val="00C46A48"/>
    <w:rsid w:val="00C6123C"/>
    <w:rsid w:val="00C64545"/>
    <w:rsid w:val="00C654F4"/>
    <w:rsid w:val="00C663F6"/>
    <w:rsid w:val="00C6740E"/>
    <w:rsid w:val="00C721DE"/>
    <w:rsid w:val="00C7257B"/>
    <w:rsid w:val="00C77C2D"/>
    <w:rsid w:val="00C802E3"/>
    <w:rsid w:val="00C81D4D"/>
    <w:rsid w:val="00C916C4"/>
    <w:rsid w:val="00C94EC8"/>
    <w:rsid w:val="00C95251"/>
    <w:rsid w:val="00CA5AE0"/>
    <w:rsid w:val="00CB0A0A"/>
    <w:rsid w:val="00CB1384"/>
    <w:rsid w:val="00CB2931"/>
    <w:rsid w:val="00CB36B2"/>
    <w:rsid w:val="00CC283E"/>
    <w:rsid w:val="00CC4CEF"/>
    <w:rsid w:val="00CD5D45"/>
    <w:rsid w:val="00CE2EF1"/>
    <w:rsid w:val="00CE5317"/>
    <w:rsid w:val="00CE70C2"/>
    <w:rsid w:val="00CF3752"/>
    <w:rsid w:val="00CF66B7"/>
    <w:rsid w:val="00D005B4"/>
    <w:rsid w:val="00D00DE5"/>
    <w:rsid w:val="00D03A7F"/>
    <w:rsid w:val="00D04CD8"/>
    <w:rsid w:val="00D05F60"/>
    <w:rsid w:val="00D0675C"/>
    <w:rsid w:val="00D073B0"/>
    <w:rsid w:val="00D07718"/>
    <w:rsid w:val="00D11A17"/>
    <w:rsid w:val="00D12760"/>
    <w:rsid w:val="00D171C9"/>
    <w:rsid w:val="00D17F92"/>
    <w:rsid w:val="00D20023"/>
    <w:rsid w:val="00D22EEF"/>
    <w:rsid w:val="00D26416"/>
    <w:rsid w:val="00D31E94"/>
    <w:rsid w:val="00D332C8"/>
    <w:rsid w:val="00D33BAA"/>
    <w:rsid w:val="00D35CFE"/>
    <w:rsid w:val="00D408F4"/>
    <w:rsid w:val="00D40B30"/>
    <w:rsid w:val="00D413D6"/>
    <w:rsid w:val="00D434AB"/>
    <w:rsid w:val="00D43C5E"/>
    <w:rsid w:val="00D45A05"/>
    <w:rsid w:val="00D649D4"/>
    <w:rsid w:val="00D66D64"/>
    <w:rsid w:val="00D67EB0"/>
    <w:rsid w:val="00D71B4D"/>
    <w:rsid w:val="00D8204F"/>
    <w:rsid w:val="00D83899"/>
    <w:rsid w:val="00D8427A"/>
    <w:rsid w:val="00D84DE5"/>
    <w:rsid w:val="00D858BB"/>
    <w:rsid w:val="00D904E3"/>
    <w:rsid w:val="00D936D6"/>
    <w:rsid w:val="00D93DEA"/>
    <w:rsid w:val="00D95E57"/>
    <w:rsid w:val="00DA1146"/>
    <w:rsid w:val="00DA1240"/>
    <w:rsid w:val="00DA34A9"/>
    <w:rsid w:val="00DA6418"/>
    <w:rsid w:val="00DB0882"/>
    <w:rsid w:val="00DB5D1A"/>
    <w:rsid w:val="00DB78F9"/>
    <w:rsid w:val="00DC2EBA"/>
    <w:rsid w:val="00DC427D"/>
    <w:rsid w:val="00DC78D3"/>
    <w:rsid w:val="00DD2D6F"/>
    <w:rsid w:val="00DD59C9"/>
    <w:rsid w:val="00DD6059"/>
    <w:rsid w:val="00DD620C"/>
    <w:rsid w:val="00DE025B"/>
    <w:rsid w:val="00DE54DB"/>
    <w:rsid w:val="00DF424A"/>
    <w:rsid w:val="00E00F10"/>
    <w:rsid w:val="00E02A20"/>
    <w:rsid w:val="00E159FD"/>
    <w:rsid w:val="00E1607E"/>
    <w:rsid w:val="00E16113"/>
    <w:rsid w:val="00E174EB"/>
    <w:rsid w:val="00E22A8A"/>
    <w:rsid w:val="00E241F3"/>
    <w:rsid w:val="00E247AF"/>
    <w:rsid w:val="00E27488"/>
    <w:rsid w:val="00E27792"/>
    <w:rsid w:val="00E33765"/>
    <w:rsid w:val="00E37EB8"/>
    <w:rsid w:val="00E41FFD"/>
    <w:rsid w:val="00E4247E"/>
    <w:rsid w:val="00E435A7"/>
    <w:rsid w:val="00E4523B"/>
    <w:rsid w:val="00E45429"/>
    <w:rsid w:val="00E45CBA"/>
    <w:rsid w:val="00E4791F"/>
    <w:rsid w:val="00E507C5"/>
    <w:rsid w:val="00E53C7C"/>
    <w:rsid w:val="00E53F13"/>
    <w:rsid w:val="00E5552C"/>
    <w:rsid w:val="00E60420"/>
    <w:rsid w:val="00E61254"/>
    <w:rsid w:val="00E62644"/>
    <w:rsid w:val="00E643CA"/>
    <w:rsid w:val="00E64781"/>
    <w:rsid w:val="00E66B7D"/>
    <w:rsid w:val="00E7175E"/>
    <w:rsid w:val="00E721B3"/>
    <w:rsid w:val="00E74A36"/>
    <w:rsid w:val="00E75830"/>
    <w:rsid w:val="00E801FF"/>
    <w:rsid w:val="00E80911"/>
    <w:rsid w:val="00E81B04"/>
    <w:rsid w:val="00E84270"/>
    <w:rsid w:val="00EA0BA0"/>
    <w:rsid w:val="00EA0CBF"/>
    <w:rsid w:val="00EA25C0"/>
    <w:rsid w:val="00EA66C6"/>
    <w:rsid w:val="00EA6A39"/>
    <w:rsid w:val="00EA6B48"/>
    <w:rsid w:val="00EA75E0"/>
    <w:rsid w:val="00EA7D0E"/>
    <w:rsid w:val="00EB3FA2"/>
    <w:rsid w:val="00EB7837"/>
    <w:rsid w:val="00EC066D"/>
    <w:rsid w:val="00EC1C7C"/>
    <w:rsid w:val="00EC2A13"/>
    <w:rsid w:val="00EC3A94"/>
    <w:rsid w:val="00EC5C40"/>
    <w:rsid w:val="00EC6667"/>
    <w:rsid w:val="00ED0350"/>
    <w:rsid w:val="00ED2B2C"/>
    <w:rsid w:val="00EE2589"/>
    <w:rsid w:val="00EE2754"/>
    <w:rsid w:val="00EE4159"/>
    <w:rsid w:val="00EE5A2A"/>
    <w:rsid w:val="00EF3AFF"/>
    <w:rsid w:val="00EF533D"/>
    <w:rsid w:val="00EF5BC3"/>
    <w:rsid w:val="00EF6137"/>
    <w:rsid w:val="00F01ABE"/>
    <w:rsid w:val="00F02847"/>
    <w:rsid w:val="00F04B92"/>
    <w:rsid w:val="00F06354"/>
    <w:rsid w:val="00F10C49"/>
    <w:rsid w:val="00F11613"/>
    <w:rsid w:val="00F204C0"/>
    <w:rsid w:val="00F2134B"/>
    <w:rsid w:val="00F2338A"/>
    <w:rsid w:val="00F2642A"/>
    <w:rsid w:val="00F30EDF"/>
    <w:rsid w:val="00F31D11"/>
    <w:rsid w:val="00F3402D"/>
    <w:rsid w:val="00F348C8"/>
    <w:rsid w:val="00F34F8F"/>
    <w:rsid w:val="00F43A9E"/>
    <w:rsid w:val="00F44F45"/>
    <w:rsid w:val="00F5131D"/>
    <w:rsid w:val="00F51956"/>
    <w:rsid w:val="00F548DF"/>
    <w:rsid w:val="00F559F6"/>
    <w:rsid w:val="00F67096"/>
    <w:rsid w:val="00F70071"/>
    <w:rsid w:val="00F7031A"/>
    <w:rsid w:val="00F759F5"/>
    <w:rsid w:val="00F802F0"/>
    <w:rsid w:val="00F819BD"/>
    <w:rsid w:val="00F86154"/>
    <w:rsid w:val="00F861DA"/>
    <w:rsid w:val="00F878D1"/>
    <w:rsid w:val="00F9072F"/>
    <w:rsid w:val="00F90C3E"/>
    <w:rsid w:val="00F914FF"/>
    <w:rsid w:val="00FA1E69"/>
    <w:rsid w:val="00FA1E95"/>
    <w:rsid w:val="00FA23AC"/>
    <w:rsid w:val="00FA2ADE"/>
    <w:rsid w:val="00FB1359"/>
    <w:rsid w:val="00FB4219"/>
    <w:rsid w:val="00FC112C"/>
    <w:rsid w:val="00FC4A83"/>
    <w:rsid w:val="00FC7356"/>
    <w:rsid w:val="00FD02E0"/>
    <w:rsid w:val="00FD0CCB"/>
    <w:rsid w:val="00FD112F"/>
    <w:rsid w:val="00FD20BC"/>
    <w:rsid w:val="00FD31BB"/>
    <w:rsid w:val="00FD31D6"/>
    <w:rsid w:val="00FD3E37"/>
    <w:rsid w:val="00FD4619"/>
    <w:rsid w:val="00FD5465"/>
    <w:rsid w:val="00FE3221"/>
    <w:rsid w:val="00FE5DE6"/>
    <w:rsid w:val="00FF1BC1"/>
    <w:rsid w:val="00FF623F"/>
    <w:rsid w:val="01043EBD"/>
    <w:rsid w:val="01190A7D"/>
    <w:rsid w:val="0120160F"/>
    <w:rsid w:val="01263897"/>
    <w:rsid w:val="012F2FBD"/>
    <w:rsid w:val="01303AC5"/>
    <w:rsid w:val="01347A59"/>
    <w:rsid w:val="01486970"/>
    <w:rsid w:val="014D4677"/>
    <w:rsid w:val="015C48EB"/>
    <w:rsid w:val="015D2DA0"/>
    <w:rsid w:val="017165B7"/>
    <w:rsid w:val="01730DD1"/>
    <w:rsid w:val="01770C0B"/>
    <w:rsid w:val="017740A6"/>
    <w:rsid w:val="018B642A"/>
    <w:rsid w:val="018C2AFD"/>
    <w:rsid w:val="01993D60"/>
    <w:rsid w:val="019F1377"/>
    <w:rsid w:val="01AA7D1B"/>
    <w:rsid w:val="01B34E22"/>
    <w:rsid w:val="01B70658"/>
    <w:rsid w:val="01BB3CD7"/>
    <w:rsid w:val="01C07DE2"/>
    <w:rsid w:val="01D408F4"/>
    <w:rsid w:val="01D65751"/>
    <w:rsid w:val="01D675C5"/>
    <w:rsid w:val="01F25CBB"/>
    <w:rsid w:val="02044BD4"/>
    <w:rsid w:val="02047B41"/>
    <w:rsid w:val="02171CFC"/>
    <w:rsid w:val="02186966"/>
    <w:rsid w:val="02282B62"/>
    <w:rsid w:val="022950E4"/>
    <w:rsid w:val="022C6982"/>
    <w:rsid w:val="022E7286"/>
    <w:rsid w:val="02301FCF"/>
    <w:rsid w:val="02313035"/>
    <w:rsid w:val="023719BC"/>
    <w:rsid w:val="024141DC"/>
    <w:rsid w:val="024B505A"/>
    <w:rsid w:val="024B6E08"/>
    <w:rsid w:val="02625EB8"/>
    <w:rsid w:val="02640CC8"/>
    <w:rsid w:val="0264611C"/>
    <w:rsid w:val="027B5385"/>
    <w:rsid w:val="027E5273"/>
    <w:rsid w:val="02877DDB"/>
    <w:rsid w:val="02895B83"/>
    <w:rsid w:val="028B3B34"/>
    <w:rsid w:val="02AE0071"/>
    <w:rsid w:val="02BD75DA"/>
    <w:rsid w:val="02C22CCA"/>
    <w:rsid w:val="02C60B85"/>
    <w:rsid w:val="02C941D1"/>
    <w:rsid w:val="02D037B2"/>
    <w:rsid w:val="02D212D8"/>
    <w:rsid w:val="02DE7C7D"/>
    <w:rsid w:val="02E07BC7"/>
    <w:rsid w:val="02E96621"/>
    <w:rsid w:val="02EA750E"/>
    <w:rsid w:val="02F34E18"/>
    <w:rsid w:val="02F4124E"/>
    <w:rsid w:val="03015719"/>
    <w:rsid w:val="03045021"/>
    <w:rsid w:val="03114A95"/>
    <w:rsid w:val="031A17EF"/>
    <w:rsid w:val="032C0BF5"/>
    <w:rsid w:val="032F672A"/>
    <w:rsid w:val="03327FC8"/>
    <w:rsid w:val="03332575"/>
    <w:rsid w:val="03363BEC"/>
    <w:rsid w:val="033B13EC"/>
    <w:rsid w:val="033B69B8"/>
    <w:rsid w:val="03404493"/>
    <w:rsid w:val="03522419"/>
    <w:rsid w:val="035937A7"/>
    <w:rsid w:val="035E5B0E"/>
    <w:rsid w:val="0361373C"/>
    <w:rsid w:val="03687A1D"/>
    <w:rsid w:val="036C573B"/>
    <w:rsid w:val="0371289F"/>
    <w:rsid w:val="03716D43"/>
    <w:rsid w:val="03767EB5"/>
    <w:rsid w:val="038A7E04"/>
    <w:rsid w:val="038F1A7B"/>
    <w:rsid w:val="039141E5"/>
    <w:rsid w:val="03920A67"/>
    <w:rsid w:val="03A07F94"/>
    <w:rsid w:val="03A8396F"/>
    <w:rsid w:val="03B15391"/>
    <w:rsid w:val="03B63973"/>
    <w:rsid w:val="03B66504"/>
    <w:rsid w:val="03BD3D36"/>
    <w:rsid w:val="03C43677"/>
    <w:rsid w:val="03C53A94"/>
    <w:rsid w:val="03CE5EF3"/>
    <w:rsid w:val="03D177E1"/>
    <w:rsid w:val="03DE62FC"/>
    <w:rsid w:val="03E42D34"/>
    <w:rsid w:val="03E5503B"/>
    <w:rsid w:val="03F5728A"/>
    <w:rsid w:val="04002C8D"/>
    <w:rsid w:val="04082AD7"/>
    <w:rsid w:val="040930D8"/>
    <w:rsid w:val="04111B1D"/>
    <w:rsid w:val="041B280B"/>
    <w:rsid w:val="043A35D9"/>
    <w:rsid w:val="044A5A0D"/>
    <w:rsid w:val="045E7557"/>
    <w:rsid w:val="04627249"/>
    <w:rsid w:val="046504D1"/>
    <w:rsid w:val="04674CF1"/>
    <w:rsid w:val="04722D72"/>
    <w:rsid w:val="04792407"/>
    <w:rsid w:val="04983E5B"/>
    <w:rsid w:val="04A47296"/>
    <w:rsid w:val="04BC1D77"/>
    <w:rsid w:val="04BD7D66"/>
    <w:rsid w:val="04C64E6C"/>
    <w:rsid w:val="04CB2483"/>
    <w:rsid w:val="04CC1F8E"/>
    <w:rsid w:val="04D525DB"/>
    <w:rsid w:val="04D53301"/>
    <w:rsid w:val="04DF7CDC"/>
    <w:rsid w:val="04E331D0"/>
    <w:rsid w:val="04E84B9F"/>
    <w:rsid w:val="04EC26C0"/>
    <w:rsid w:val="04F27A0F"/>
    <w:rsid w:val="04F72EDE"/>
    <w:rsid w:val="04FB5EB5"/>
    <w:rsid w:val="04FD41F8"/>
    <w:rsid w:val="05137986"/>
    <w:rsid w:val="05244DB7"/>
    <w:rsid w:val="052915E3"/>
    <w:rsid w:val="052F2A11"/>
    <w:rsid w:val="053E2FB6"/>
    <w:rsid w:val="05404C1F"/>
    <w:rsid w:val="054B4732"/>
    <w:rsid w:val="05544409"/>
    <w:rsid w:val="055C132D"/>
    <w:rsid w:val="055E7FA4"/>
    <w:rsid w:val="056664AF"/>
    <w:rsid w:val="056A3A4A"/>
    <w:rsid w:val="056F1060"/>
    <w:rsid w:val="05740021"/>
    <w:rsid w:val="05810D93"/>
    <w:rsid w:val="058115EA"/>
    <w:rsid w:val="058449FA"/>
    <w:rsid w:val="059211F2"/>
    <w:rsid w:val="05924D4E"/>
    <w:rsid w:val="059B00A7"/>
    <w:rsid w:val="059F21A8"/>
    <w:rsid w:val="05A72D76"/>
    <w:rsid w:val="05A8144A"/>
    <w:rsid w:val="05C3068F"/>
    <w:rsid w:val="05D7640A"/>
    <w:rsid w:val="05DB2156"/>
    <w:rsid w:val="05E96148"/>
    <w:rsid w:val="05E96551"/>
    <w:rsid w:val="05F14F60"/>
    <w:rsid w:val="05FB63FE"/>
    <w:rsid w:val="05FF553A"/>
    <w:rsid w:val="06073C8D"/>
    <w:rsid w:val="06090798"/>
    <w:rsid w:val="060E6ACB"/>
    <w:rsid w:val="061B7596"/>
    <w:rsid w:val="062175D2"/>
    <w:rsid w:val="06255E28"/>
    <w:rsid w:val="062866AB"/>
    <w:rsid w:val="062F07EF"/>
    <w:rsid w:val="063026EF"/>
    <w:rsid w:val="063B7194"/>
    <w:rsid w:val="064222D0"/>
    <w:rsid w:val="064C75F3"/>
    <w:rsid w:val="064F1E7B"/>
    <w:rsid w:val="06553D03"/>
    <w:rsid w:val="066D56BF"/>
    <w:rsid w:val="06744AE9"/>
    <w:rsid w:val="06890E1C"/>
    <w:rsid w:val="068C2F16"/>
    <w:rsid w:val="068E3768"/>
    <w:rsid w:val="06926323"/>
    <w:rsid w:val="06945E92"/>
    <w:rsid w:val="069A0572"/>
    <w:rsid w:val="069F7723"/>
    <w:rsid w:val="06A63BB2"/>
    <w:rsid w:val="06B34F7C"/>
    <w:rsid w:val="06BA103E"/>
    <w:rsid w:val="06BA455D"/>
    <w:rsid w:val="06C64581"/>
    <w:rsid w:val="06CC70ED"/>
    <w:rsid w:val="06D5505A"/>
    <w:rsid w:val="06D870D9"/>
    <w:rsid w:val="06DC0977"/>
    <w:rsid w:val="06E8677F"/>
    <w:rsid w:val="06EF25FB"/>
    <w:rsid w:val="06F85085"/>
    <w:rsid w:val="06F9676B"/>
    <w:rsid w:val="06FE5508"/>
    <w:rsid w:val="070677A2"/>
    <w:rsid w:val="07152059"/>
    <w:rsid w:val="071747CF"/>
    <w:rsid w:val="071D78B9"/>
    <w:rsid w:val="071F266B"/>
    <w:rsid w:val="07210857"/>
    <w:rsid w:val="07215081"/>
    <w:rsid w:val="072A0AAC"/>
    <w:rsid w:val="073439A0"/>
    <w:rsid w:val="073836D3"/>
    <w:rsid w:val="0738531C"/>
    <w:rsid w:val="073A7387"/>
    <w:rsid w:val="073B085A"/>
    <w:rsid w:val="074A1D85"/>
    <w:rsid w:val="074A6E84"/>
    <w:rsid w:val="074B2069"/>
    <w:rsid w:val="074B78AB"/>
    <w:rsid w:val="074E2EF7"/>
    <w:rsid w:val="0755670B"/>
    <w:rsid w:val="07583E9D"/>
    <w:rsid w:val="075B2072"/>
    <w:rsid w:val="075B74B8"/>
    <w:rsid w:val="075E138C"/>
    <w:rsid w:val="07634EAA"/>
    <w:rsid w:val="076646E5"/>
    <w:rsid w:val="07726BE5"/>
    <w:rsid w:val="0774295E"/>
    <w:rsid w:val="07770C8F"/>
    <w:rsid w:val="077A0319"/>
    <w:rsid w:val="07837045"/>
    <w:rsid w:val="07873F8E"/>
    <w:rsid w:val="079052BE"/>
    <w:rsid w:val="07995F18"/>
    <w:rsid w:val="079E503B"/>
    <w:rsid w:val="07A54CCF"/>
    <w:rsid w:val="07A61F4B"/>
    <w:rsid w:val="07BA218C"/>
    <w:rsid w:val="07BC4304"/>
    <w:rsid w:val="07BD6732"/>
    <w:rsid w:val="07BF35D6"/>
    <w:rsid w:val="07C136C9"/>
    <w:rsid w:val="07D027E9"/>
    <w:rsid w:val="07D64C0D"/>
    <w:rsid w:val="07DC15D4"/>
    <w:rsid w:val="07EC3C6B"/>
    <w:rsid w:val="07F92E63"/>
    <w:rsid w:val="07FD475B"/>
    <w:rsid w:val="080E1773"/>
    <w:rsid w:val="082431D0"/>
    <w:rsid w:val="08471E20"/>
    <w:rsid w:val="084D2359"/>
    <w:rsid w:val="0854278F"/>
    <w:rsid w:val="08653D09"/>
    <w:rsid w:val="08753F37"/>
    <w:rsid w:val="08760957"/>
    <w:rsid w:val="08783F6E"/>
    <w:rsid w:val="087A5D7E"/>
    <w:rsid w:val="087B7D1C"/>
    <w:rsid w:val="08843512"/>
    <w:rsid w:val="088766C0"/>
    <w:rsid w:val="08932D2D"/>
    <w:rsid w:val="08973592"/>
    <w:rsid w:val="08A4475E"/>
    <w:rsid w:val="08A85D1D"/>
    <w:rsid w:val="08AA23AF"/>
    <w:rsid w:val="08B35707"/>
    <w:rsid w:val="08BB75F3"/>
    <w:rsid w:val="08C04F0E"/>
    <w:rsid w:val="08C2594B"/>
    <w:rsid w:val="08C4785C"/>
    <w:rsid w:val="08D03D5B"/>
    <w:rsid w:val="08D52622"/>
    <w:rsid w:val="08D833C0"/>
    <w:rsid w:val="08E52A6C"/>
    <w:rsid w:val="08E5742B"/>
    <w:rsid w:val="08E7201A"/>
    <w:rsid w:val="08E92ED7"/>
    <w:rsid w:val="08EB30F3"/>
    <w:rsid w:val="09094B51"/>
    <w:rsid w:val="09112285"/>
    <w:rsid w:val="09142F1D"/>
    <w:rsid w:val="091C7B53"/>
    <w:rsid w:val="09242161"/>
    <w:rsid w:val="0935436E"/>
    <w:rsid w:val="09374805"/>
    <w:rsid w:val="09411ED9"/>
    <w:rsid w:val="09532F2B"/>
    <w:rsid w:val="095A1FBF"/>
    <w:rsid w:val="096133A7"/>
    <w:rsid w:val="096B1B3E"/>
    <w:rsid w:val="09811362"/>
    <w:rsid w:val="09866978"/>
    <w:rsid w:val="09867608"/>
    <w:rsid w:val="099E3CC2"/>
    <w:rsid w:val="099F5C8C"/>
    <w:rsid w:val="09B81DC8"/>
    <w:rsid w:val="09CE162B"/>
    <w:rsid w:val="09E07FCA"/>
    <w:rsid w:val="09E244F6"/>
    <w:rsid w:val="09EB038F"/>
    <w:rsid w:val="09F91840"/>
    <w:rsid w:val="0A073912"/>
    <w:rsid w:val="0A0770C9"/>
    <w:rsid w:val="0A134C7C"/>
    <w:rsid w:val="0A1E3055"/>
    <w:rsid w:val="0A20501F"/>
    <w:rsid w:val="0A23066B"/>
    <w:rsid w:val="0A3462B3"/>
    <w:rsid w:val="0A363026"/>
    <w:rsid w:val="0A3E6600"/>
    <w:rsid w:val="0A4F1460"/>
    <w:rsid w:val="0A544CC8"/>
    <w:rsid w:val="0A5841D1"/>
    <w:rsid w:val="0A597200"/>
    <w:rsid w:val="0A5C48A0"/>
    <w:rsid w:val="0A6405C0"/>
    <w:rsid w:val="0A660588"/>
    <w:rsid w:val="0A682522"/>
    <w:rsid w:val="0A6E505A"/>
    <w:rsid w:val="0A703D4C"/>
    <w:rsid w:val="0A712522"/>
    <w:rsid w:val="0A735303"/>
    <w:rsid w:val="0A7B5821"/>
    <w:rsid w:val="0A7F7DD2"/>
    <w:rsid w:val="0A825391"/>
    <w:rsid w:val="0A8F5D00"/>
    <w:rsid w:val="0AB919FE"/>
    <w:rsid w:val="0ABA2D7D"/>
    <w:rsid w:val="0ABC242C"/>
    <w:rsid w:val="0AC57974"/>
    <w:rsid w:val="0AD61B81"/>
    <w:rsid w:val="0AE24230"/>
    <w:rsid w:val="0AF6053C"/>
    <w:rsid w:val="0AF8460A"/>
    <w:rsid w:val="0AFF7FD5"/>
    <w:rsid w:val="0B040607"/>
    <w:rsid w:val="0B064214"/>
    <w:rsid w:val="0B0F2ACA"/>
    <w:rsid w:val="0B120BFA"/>
    <w:rsid w:val="0B1C2265"/>
    <w:rsid w:val="0B253CB7"/>
    <w:rsid w:val="0B2621C1"/>
    <w:rsid w:val="0B266665"/>
    <w:rsid w:val="0B2A6DDE"/>
    <w:rsid w:val="0B2C3A64"/>
    <w:rsid w:val="0B2D6095"/>
    <w:rsid w:val="0B352404"/>
    <w:rsid w:val="0B3C7C36"/>
    <w:rsid w:val="0B3D750A"/>
    <w:rsid w:val="0B3F14D4"/>
    <w:rsid w:val="0B494101"/>
    <w:rsid w:val="0B5A3EB0"/>
    <w:rsid w:val="0B5F724D"/>
    <w:rsid w:val="0B640F3B"/>
    <w:rsid w:val="0B660CEF"/>
    <w:rsid w:val="0B772B0E"/>
    <w:rsid w:val="0B86084B"/>
    <w:rsid w:val="0B8B471A"/>
    <w:rsid w:val="0B9510F4"/>
    <w:rsid w:val="0B957346"/>
    <w:rsid w:val="0BAE0408"/>
    <w:rsid w:val="0BB210AB"/>
    <w:rsid w:val="0BCE461F"/>
    <w:rsid w:val="0BDB0055"/>
    <w:rsid w:val="0BE04A65"/>
    <w:rsid w:val="0BE2618D"/>
    <w:rsid w:val="0BE95458"/>
    <w:rsid w:val="0BF64289"/>
    <w:rsid w:val="0C0F4115"/>
    <w:rsid w:val="0C1A4101"/>
    <w:rsid w:val="0C2B44D0"/>
    <w:rsid w:val="0C344DB1"/>
    <w:rsid w:val="0C395F24"/>
    <w:rsid w:val="0C396DB4"/>
    <w:rsid w:val="0C3D5C39"/>
    <w:rsid w:val="0C4072B2"/>
    <w:rsid w:val="0C562C5C"/>
    <w:rsid w:val="0C58171F"/>
    <w:rsid w:val="0C676F35"/>
    <w:rsid w:val="0C6D3E1F"/>
    <w:rsid w:val="0C711B61"/>
    <w:rsid w:val="0C7E602C"/>
    <w:rsid w:val="0C871385"/>
    <w:rsid w:val="0C8C2FC4"/>
    <w:rsid w:val="0C9202FD"/>
    <w:rsid w:val="0C9475FE"/>
    <w:rsid w:val="0C9870EE"/>
    <w:rsid w:val="0C9B273A"/>
    <w:rsid w:val="0CA366AD"/>
    <w:rsid w:val="0CA737D5"/>
    <w:rsid w:val="0CB35CD6"/>
    <w:rsid w:val="0CC7174E"/>
    <w:rsid w:val="0CD336A2"/>
    <w:rsid w:val="0CD9175F"/>
    <w:rsid w:val="0CDA44A7"/>
    <w:rsid w:val="0CF27FC3"/>
    <w:rsid w:val="0CF32576"/>
    <w:rsid w:val="0CFC560E"/>
    <w:rsid w:val="0D1129FD"/>
    <w:rsid w:val="0D121FB0"/>
    <w:rsid w:val="0D151991"/>
    <w:rsid w:val="0D162709"/>
    <w:rsid w:val="0D287B43"/>
    <w:rsid w:val="0D31309F"/>
    <w:rsid w:val="0D3701FD"/>
    <w:rsid w:val="0D3D3E4F"/>
    <w:rsid w:val="0D531D7B"/>
    <w:rsid w:val="0D587590"/>
    <w:rsid w:val="0D6A44C4"/>
    <w:rsid w:val="0D6B035F"/>
    <w:rsid w:val="0D7D56F3"/>
    <w:rsid w:val="0D7F02AE"/>
    <w:rsid w:val="0D827140"/>
    <w:rsid w:val="0D847672"/>
    <w:rsid w:val="0D8A234E"/>
    <w:rsid w:val="0D911084"/>
    <w:rsid w:val="0D9D0734"/>
    <w:rsid w:val="0D9F513B"/>
    <w:rsid w:val="0DA16476"/>
    <w:rsid w:val="0DBC0FDB"/>
    <w:rsid w:val="0DC12675"/>
    <w:rsid w:val="0DCC0D68"/>
    <w:rsid w:val="0DCC55DF"/>
    <w:rsid w:val="0DCE6B40"/>
    <w:rsid w:val="0DCF664D"/>
    <w:rsid w:val="0DD8734D"/>
    <w:rsid w:val="0DDF2AFB"/>
    <w:rsid w:val="0DE25AC2"/>
    <w:rsid w:val="0DE3578B"/>
    <w:rsid w:val="0E01759B"/>
    <w:rsid w:val="0E0C7ABD"/>
    <w:rsid w:val="0E10517E"/>
    <w:rsid w:val="0E1053AA"/>
    <w:rsid w:val="0E167FFC"/>
    <w:rsid w:val="0E187146"/>
    <w:rsid w:val="0E1F2F02"/>
    <w:rsid w:val="0E247BE7"/>
    <w:rsid w:val="0E2C21E4"/>
    <w:rsid w:val="0E40110D"/>
    <w:rsid w:val="0E40184F"/>
    <w:rsid w:val="0E4070D3"/>
    <w:rsid w:val="0E4E226F"/>
    <w:rsid w:val="0E524C54"/>
    <w:rsid w:val="0E542916"/>
    <w:rsid w:val="0E610670"/>
    <w:rsid w:val="0E645F30"/>
    <w:rsid w:val="0E716B34"/>
    <w:rsid w:val="0E7B4DDB"/>
    <w:rsid w:val="0E7D5F0A"/>
    <w:rsid w:val="0E855450"/>
    <w:rsid w:val="0E8F4521"/>
    <w:rsid w:val="0E910299"/>
    <w:rsid w:val="0E957E08"/>
    <w:rsid w:val="0E9C0543"/>
    <w:rsid w:val="0EB00BA3"/>
    <w:rsid w:val="0EC96181"/>
    <w:rsid w:val="0ED412C2"/>
    <w:rsid w:val="0ED42BED"/>
    <w:rsid w:val="0ED463D8"/>
    <w:rsid w:val="0EDC703A"/>
    <w:rsid w:val="0EDE1004"/>
    <w:rsid w:val="0EE26D46"/>
    <w:rsid w:val="0EF12BB8"/>
    <w:rsid w:val="0EF820C6"/>
    <w:rsid w:val="0EF95E3E"/>
    <w:rsid w:val="0EFD148A"/>
    <w:rsid w:val="0EFE5203"/>
    <w:rsid w:val="0F1316B5"/>
    <w:rsid w:val="0F24110D"/>
    <w:rsid w:val="0F290C5F"/>
    <w:rsid w:val="0F2E5AE8"/>
    <w:rsid w:val="0F3550C8"/>
    <w:rsid w:val="0F445971"/>
    <w:rsid w:val="0F512FA2"/>
    <w:rsid w:val="0F550D61"/>
    <w:rsid w:val="0F6253B9"/>
    <w:rsid w:val="0F6771DF"/>
    <w:rsid w:val="0F762290"/>
    <w:rsid w:val="0F8724A9"/>
    <w:rsid w:val="0F9542DF"/>
    <w:rsid w:val="0F965124"/>
    <w:rsid w:val="0F9C343A"/>
    <w:rsid w:val="0FA43FFC"/>
    <w:rsid w:val="0FB104C7"/>
    <w:rsid w:val="0FB34171"/>
    <w:rsid w:val="0FB35FED"/>
    <w:rsid w:val="0FBC79E8"/>
    <w:rsid w:val="0FBF2484"/>
    <w:rsid w:val="0FC144E9"/>
    <w:rsid w:val="0FC420CD"/>
    <w:rsid w:val="0FF045D7"/>
    <w:rsid w:val="0FF23228"/>
    <w:rsid w:val="0FF24D67"/>
    <w:rsid w:val="0FFC1742"/>
    <w:rsid w:val="1010343F"/>
    <w:rsid w:val="10152C73"/>
    <w:rsid w:val="10177014"/>
    <w:rsid w:val="101A42BE"/>
    <w:rsid w:val="101C3B92"/>
    <w:rsid w:val="101E3DAE"/>
    <w:rsid w:val="10250D12"/>
    <w:rsid w:val="1025629C"/>
    <w:rsid w:val="10383B05"/>
    <w:rsid w:val="10505F32"/>
    <w:rsid w:val="105B3706"/>
    <w:rsid w:val="105F5CD3"/>
    <w:rsid w:val="10631E35"/>
    <w:rsid w:val="106B101E"/>
    <w:rsid w:val="107A4BE6"/>
    <w:rsid w:val="10820D30"/>
    <w:rsid w:val="1082249B"/>
    <w:rsid w:val="108B0D18"/>
    <w:rsid w:val="108D1C83"/>
    <w:rsid w:val="108D3B35"/>
    <w:rsid w:val="109572E9"/>
    <w:rsid w:val="10967DE9"/>
    <w:rsid w:val="10973C49"/>
    <w:rsid w:val="109F42E6"/>
    <w:rsid w:val="10A67900"/>
    <w:rsid w:val="10AA5642"/>
    <w:rsid w:val="10AC0858"/>
    <w:rsid w:val="10B4026F"/>
    <w:rsid w:val="10BE2E9B"/>
    <w:rsid w:val="10BE7CB1"/>
    <w:rsid w:val="10C10F68"/>
    <w:rsid w:val="10D32C41"/>
    <w:rsid w:val="10D86442"/>
    <w:rsid w:val="10D95F27"/>
    <w:rsid w:val="10E36DA6"/>
    <w:rsid w:val="10EE1AD3"/>
    <w:rsid w:val="10F50A33"/>
    <w:rsid w:val="10FA46DE"/>
    <w:rsid w:val="11034412"/>
    <w:rsid w:val="11102EA6"/>
    <w:rsid w:val="11164B41"/>
    <w:rsid w:val="111C15D2"/>
    <w:rsid w:val="112371A2"/>
    <w:rsid w:val="112A679B"/>
    <w:rsid w:val="112E0021"/>
    <w:rsid w:val="112F5B47"/>
    <w:rsid w:val="1131366D"/>
    <w:rsid w:val="113849FC"/>
    <w:rsid w:val="113B273E"/>
    <w:rsid w:val="113B5153"/>
    <w:rsid w:val="114415F3"/>
    <w:rsid w:val="114A2981"/>
    <w:rsid w:val="11515ABE"/>
    <w:rsid w:val="11716542"/>
    <w:rsid w:val="117450BC"/>
    <w:rsid w:val="11760C25"/>
    <w:rsid w:val="11766EAB"/>
    <w:rsid w:val="11840200"/>
    <w:rsid w:val="11897E27"/>
    <w:rsid w:val="118A0BD6"/>
    <w:rsid w:val="11914267"/>
    <w:rsid w:val="119C142F"/>
    <w:rsid w:val="11AD5861"/>
    <w:rsid w:val="11B41718"/>
    <w:rsid w:val="11C126FB"/>
    <w:rsid w:val="11C4369B"/>
    <w:rsid w:val="11DC205D"/>
    <w:rsid w:val="11E071D0"/>
    <w:rsid w:val="11E10AE6"/>
    <w:rsid w:val="11E17A03"/>
    <w:rsid w:val="11E328D0"/>
    <w:rsid w:val="11E3705D"/>
    <w:rsid w:val="11E953D2"/>
    <w:rsid w:val="11EE02F0"/>
    <w:rsid w:val="11FB7589"/>
    <w:rsid w:val="12042B30"/>
    <w:rsid w:val="120B1369"/>
    <w:rsid w:val="120D62FD"/>
    <w:rsid w:val="120F4041"/>
    <w:rsid w:val="12280F14"/>
    <w:rsid w:val="12304A60"/>
    <w:rsid w:val="123A29F6"/>
    <w:rsid w:val="124C0E51"/>
    <w:rsid w:val="124F69FB"/>
    <w:rsid w:val="12504EBA"/>
    <w:rsid w:val="12521B3E"/>
    <w:rsid w:val="12540D76"/>
    <w:rsid w:val="12596394"/>
    <w:rsid w:val="12597320"/>
    <w:rsid w:val="125C75F6"/>
    <w:rsid w:val="12601BA1"/>
    <w:rsid w:val="126632ED"/>
    <w:rsid w:val="12680117"/>
    <w:rsid w:val="126A0979"/>
    <w:rsid w:val="128151FC"/>
    <w:rsid w:val="1291752C"/>
    <w:rsid w:val="12976929"/>
    <w:rsid w:val="12AB28CE"/>
    <w:rsid w:val="12AC7C84"/>
    <w:rsid w:val="12C10A21"/>
    <w:rsid w:val="12C50511"/>
    <w:rsid w:val="12C64289"/>
    <w:rsid w:val="12D311DF"/>
    <w:rsid w:val="12D47E16"/>
    <w:rsid w:val="12D91743"/>
    <w:rsid w:val="12E12E71"/>
    <w:rsid w:val="12E62D90"/>
    <w:rsid w:val="12EB3CF0"/>
    <w:rsid w:val="12EC40D4"/>
    <w:rsid w:val="12F6691D"/>
    <w:rsid w:val="12F928B1"/>
    <w:rsid w:val="13001818"/>
    <w:rsid w:val="130152C1"/>
    <w:rsid w:val="13053004"/>
    <w:rsid w:val="130C4747"/>
    <w:rsid w:val="1313231A"/>
    <w:rsid w:val="131A0781"/>
    <w:rsid w:val="131F4C86"/>
    <w:rsid w:val="13280AA0"/>
    <w:rsid w:val="13296463"/>
    <w:rsid w:val="132E255A"/>
    <w:rsid w:val="13322B76"/>
    <w:rsid w:val="1333697F"/>
    <w:rsid w:val="13371D14"/>
    <w:rsid w:val="133A79EB"/>
    <w:rsid w:val="133B6A25"/>
    <w:rsid w:val="13405DEA"/>
    <w:rsid w:val="13410D35"/>
    <w:rsid w:val="13427DB4"/>
    <w:rsid w:val="134578A4"/>
    <w:rsid w:val="135576AB"/>
    <w:rsid w:val="1358276C"/>
    <w:rsid w:val="135B28C2"/>
    <w:rsid w:val="135F3A5D"/>
    <w:rsid w:val="1360023A"/>
    <w:rsid w:val="136134F9"/>
    <w:rsid w:val="137141F5"/>
    <w:rsid w:val="13787ABF"/>
    <w:rsid w:val="138243CB"/>
    <w:rsid w:val="13893C35"/>
    <w:rsid w:val="139006BC"/>
    <w:rsid w:val="139C5C69"/>
    <w:rsid w:val="13AC59DE"/>
    <w:rsid w:val="13B23205"/>
    <w:rsid w:val="13B255FA"/>
    <w:rsid w:val="13C22CA3"/>
    <w:rsid w:val="13C24A51"/>
    <w:rsid w:val="13CB7DA9"/>
    <w:rsid w:val="13D50C28"/>
    <w:rsid w:val="13DD6AB3"/>
    <w:rsid w:val="13DE166E"/>
    <w:rsid w:val="13E04EA0"/>
    <w:rsid w:val="13EA3605"/>
    <w:rsid w:val="13FD017F"/>
    <w:rsid w:val="140A0991"/>
    <w:rsid w:val="140E413A"/>
    <w:rsid w:val="141547DE"/>
    <w:rsid w:val="141C0605"/>
    <w:rsid w:val="14237BE5"/>
    <w:rsid w:val="143034D3"/>
    <w:rsid w:val="14496F20"/>
    <w:rsid w:val="14515DD5"/>
    <w:rsid w:val="14532696"/>
    <w:rsid w:val="145A2438"/>
    <w:rsid w:val="14681A9C"/>
    <w:rsid w:val="146A5814"/>
    <w:rsid w:val="146B333A"/>
    <w:rsid w:val="14776BB3"/>
    <w:rsid w:val="147C10A3"/>
    <w:rsid w:val="14821D1C"/>
    <w:rsid w:val="148443FC"/>
    <w:rsid w:val="148958D5"/>
    <w:rsid w:val="149617D4"/>
    <w:rsid w:val="14997EA7"/>
    <w:rsid w:val="14A01236"/>
    <w:rsid w:val="14B5599A"/>
    <w:rsid w:val="14B94407"/>
    <w:rsid w:val="14BC1DE8"/>
    <w:rsid w:val="14C572F2"/>
    <w:rsid w:val="14CC1A1A"/>
    <w:rsid w:val="14D015B5"/>
    <w:rsid w:val="14D414DC"/>
    <w:rsid w:val="14DD2F6E"/>
    <w:rsid w:val="14DE249B"/>
    <w:rsid w:val="14E46C49"/>
    <w:rsid w:val="14ED3D4F"/>
    <w:rsid w:val="14F1597F"/>
    <w:rsid w:val="14F34006"/>
    <w:rsid w:val="151C6E74"/>
    <w:rsid w:val="1528122B"/>
    <w:rsid w:val="152B3842"/>
    <w:rsid w:val="15386EED"/>
    <w:rsid w:val="153F1572"/>
    <w:rsid w:val="15431BC1"/>
    <w:rsid w:val="15437E13"/>
    <w:rsid w:val="15512530"/>
    <w:rsid w:val="15600F84"/>
    <w:rsid w:val="156D4E90"/>
    <w:rsid w:val="157336B7"/>
    <w:rsid w:val="157533F7"/>
    <w:rsid w:val="15915022"/>
    <w:rsid w:val="159453E0"/>
    <w:rsid w:val="159527E2"/>
    <w:rsid w:val="15B13736"/>
    <w:rsid w:val="15BB3E4D"/>
    <w:rsid w:val="15CC1403"/>
    <w:rsid w:val="15D46CBD"/>
    <w:rsid w:val="15D53161"/>
    <w:rsid w:val="15D65076"/>
    <w:rsid w:val="15D87812"/>
    <w:rsid w:val="15D97C62"/>
    <w:rsid w:val="15DA1475"/>
    <w:rsid w:val="15E65090"/>
    <w:rsid w:val="15F30B84"/>
    <w:rsid w:val="15F31839"/>
    <w:rsid w:val="15FA4678"/>
    <w:rsid w:val="15FF0BF5"/>
    <w:rsid w:val="1606156C"/>
    <w:rsid w:val="161812A0"/>
    <w:rsid w:val="161A005A"/>
    <w:rsid w:val="162261B5"/>
    <w:rsid w:val="162F0A5C"/>
    <w:rsid w:val="163069B5"/>
    <w:rsid w:val="16353551"/>
    <w:rsid w:val="163C4F8E"/>
    <w:rsid w:val="164507CF"/>
    <w:rsid w:val="164B6DF8"/>
    <w:rsid w:val="164C26A4"/>
    <w:rsid w:val="1658169C"/>
    <w:rsid w:val="165A18B8"/>
    <w:rsid w:val="165D5E6B"/>
    <w:rsid w:val="16614952"/>
    <w:rsid w:val="1663752C"/>
    <w:rsid w:val="166977C7"/>
    <w:rsid w:val="16740983"/>
    <w:rsid w:val="168533CC"/>
    <w:rsid w:val="16907AC1"/>
    <w:rsid w:val="16936179"/>
    <w:rsid w:val="169C09CD"/>
    <w:rsid w:val="16B131C8"/>
    <w:rsid w:val="16BE59A3"/>
    <w:rsid w:val="16C66259"/>
    <w:rsid w:val="16C84A74"/>
    <w:rsid w:val="16C93687"/>
    <w:rsid w:val="16D30BCF"/>
    <w:rsid w:val="16DC262E"/>
    <w:rsid w:val="16DF6698"/>
    <w:rsid w:val="16E63B98"/>
    <w:rsid w:val="16E64EFA"/>
    <w:rsid w:val="1706734A"/>
    <w:rsid w:val="170B54A1"/>
    <w:rsid w:val="172714F5"/>
    <w:rsid w:val="172D0D7B"/>
    <w:rsid w:val="172E5118"/>
    <w:rsid w:val="17321637"/>
    <w:rsid w:val="17345C65"/>
    <w:rsid w:val="17346F9A"/>
    <w:rsid w:val="173D0506"/>
    <w:rsid w:val="17455AC7"/>
    <w:rsid w:val="175956CC"/>
    <w:rsid w:val="175E3902"/>
    <w:rsid w:val="17616ADD"/>
    <w:rsid w:val="176507E5"/>
    <w:rsid w:val="17703BA2"/>
    <w:rsid w:val="17795D6E"/>
    <w:rsid w:val="177D2F69"/>
    <w:rsid w:val="17824129"/>
    <w:rsid w:val="178C7BDD"/>
    <w:rsid w:val="179E2C78"/>
    <w:rsid w:val="17A0154D"/>
    <w:rsid w:val="17A931D4"/>
    <w:rsid w:val="17AD77C6"/>
    <w:rsid w:val="17BD3EAD"/>
    <w:rsid w:val="17C01249"/>
    <w:rsid w:val="17C807FA"/>
    <w:rsid w:val="17CD686C"/>
    <w:rsid w:val="17D3547E"/>
    <w:rsid w:val="17D411F6"/>
    <w:rsid w:val="17D5065B"/>
    <w:rsid w:val="17D57ECC"/>
    <w:rsid w:val="17EC4792"/>
    <w:rsid w:val="17EE4066"/>
    <w:rsid w:val="17FD074D"/>
    <w:rsid w:val="17FD6442"/>
    <w:rsid w:val="180D086C"/>
    <w:rsid w:val="18101C1D"/>
    <w:rsid w:val="18150D6F"/>
    <w:rsid w:val="181E32C2"/>
    <w:rsid w:val="183C7DC5"/>
    <w:rsid w:val="183E4261"/>
    <w:rsid w:val="18405EA8"/>
    <w:rsid w:val="18456BFE"/>
    <w:rsid w:val="18495F90"/>
    <w:rsid w:val="184C00EF"/>
    <w:rsid w:val="184E0FA9"/>
    <w:rsid w:val="185F3DA2"/>
    <w:rsid w:val="18603A31"/>
    <w:rsid w:val="18694035"/>
    <w:rsid w:val="186B4BB7"/>
    <w:rsid w:val="18784278"/>
    <w:rsid w:val="187A4566"/>
    <w:rsid w:val="187A5233"/>
    <w:rsid w:val="187E6CE5"/>
    <w:rsid w:val="18820C52"/>
    <w:rsid w:val="18834B7B"/>
    <w:rsid w:val="18851A4B"/>
    <w:rsid w:val="18872FBE"/>
    <w:rsid w:val="18891FE1"/>
    <w:rsid w:val="1899407A"/>
    <w:rsid w:val="189C522C"/>
    <w:rsid w:val="18AD3F21"/>
    <w:rsid w:val="18B06CE4"/>
    <w:rsid w:val="18B62086"/>
    <w:rsid w:val="18C9085B"/>
    <w:rsid w:val="18C91741"/>
    <w:rsid w:val="18C96881"/>
    <w:rsid w:val="18CD78FE"/>
    <w:rsid w:val="18CE2602"/>
    <w:rsid w:val="18D86D7C"/>
    <w:rsid w:val="18D9277B"/>
    <w:rsid w:val="18E0157D"/>
    <w:rsid w:val="18F65480"/>
    <w:rsid w:val="18F97167"/>
    <w:rsid w:val="18FF04F5"/>
    <w:rsid w:val="18FF22A3"/>
    <w:rsid w:val="19036AA5"/>
    <w:rsid w:val="190A1374"/>
    <w:rsid w:val="190A3122"/>
    <w:rsid w:val="19124AB1"/>
    <w:rsid w:val="19263F1C"/>
    <w:rsid w:val="194A0D8E"/>
    <w:rsid w:val="19510D51"/>
    <w:rsid w:val="19535253"/>
    <w:rsid w:val="195540D4"/>
    <w:rsid w:val="195A572B"/>
    <w:rsid w:val="1963128B"/>
    <w:rsid w:val="1968295F"/>
    <w:rsid w:val="196D545F"/>
    <w:rsid w:val="197170D7"/>
    <w:rsid w:val="198D5B01"/>
    <w:rsid w:val="1997072D"/>
    <w:rsid w:val="199A037F"/>
    <w:rsid w:val="199B1FCC"/>
    <w:rsid w:val="199C1914"/>
    <w:rsid w:val="19A0530C"/>
    <w:rsid w:val="19A0753F"/>
    <w:rsid w:val="19A5110F"/>
    <w:rsid w:val="19A84004"/>
    <w:rsid w:val="19BA4FB0"/>
    <w:rsid w:val="19C57049"/>
    <w:rsid w:val="19D266D8"/>
    <w:rsid w:val="19D305F9"/>
    <w:rsid w:val="19D328A2"/>
    <w:rsid w:val="19D454DE"/>
    <w:rsid w:val="19D83220"/>
    <w:rsid w:val="19DB0D56"/>
    <w:rsid w:val="19F110D4"/>
    <w:rsid w:val="19F142E2"/>
    <w:rsid w:val="19F14B8B"/>
    <w:rsid w:val="19F605C9"/>
    <w:rsid w:val="19F85670"/>
    <w:rsid w:val="1A004525"/>
    <w:rsid w:val="1A0104FE"/>
    <w:rsid w:val="1A060EFD"/>
    <w:rsid w:val="1A0A53A3"/>
    <w:rsid w:val="1A165AF6"/>
    <w:rsid w:val="1A1A3838"/>
    <w:rsid w:val="1A3B390F"/>
    <w:rsid w:val="1A4B2D03"/>
    <w:rsid w:val="1A4D5C12"/>
    <w:rsid w:val="1A5A0A2E"/>
    <w:rsid w:val="1A5A3C35"/>
    <w:rsid w:val="1A703458"/>
    <w:rsid w:val="1A751E71"/>
    <w:rsid w:val="1A7D5EF3"/>
    <w:rsid w:val="1A8567D8"/>
    <w:rsid w:val="1A95150C"/>
    <w:rsid w:val="1A967D61"/>
    <w:rsid w:val="1A9D1D74"/>
    <w:rsid w:val="1A9E2574"/>
    <w:rsid w:val="1A9F3D3E"/>
    <w:rsid w:val="1AAA60EC"/>
    <w:rsid w:val="1ABC06A4"/>
    <w:rsid w:val="1ABC6E15"/>
    <w:rsid w:val="1ACA6301"/>
    <w:rsid w:val="1AD54191"/>
    <w:rsid w:val="1AEF40D4"/>
    <w:rsid w:val="1AF41518"/>
    <w:rsid w:val="1AF518DD"/>
    <w:rsid w:val="1AF916A0"/>
    <w:rsid w:val="1B063DBD"/>
    <w:rsid w:val="1B087B35"/>
    <w:rsid w:val="1B1A5628"/>
    <w:rsid w:val="1B222279"/>
    <w:rsid w:val="1B2374B8"/>
    <w:rsid w:val="1B26620D"/>
    <w:rsid w:val="1B267FBB"/>
    <w:rsid w:val="1B2B3823"/>
    <w:rsid w:val="1B2E0C1E"/>
    <w:rsid w:val="1B3050E0"/>
    <w:rsid w:val="1B360505"/>
    <w:rsid w:val="1B3C333B"/>
    <w:rsid w:val="1B3D4D89"/>
    <w:rsid w:val="1B4552CD"/>
    <w:rsid w:val="1B4855C5"/>
    <w:rsid w:val="1B4D59E0"/>
    <w:rsid w:val="1B4F06FB"/>
    <w:rsid w:val="1B510C76"/>
    <w:rsid w:val="1B6A5569"/>
    <w:rsid w:val="1B6B5A9F"/>
    <w:rsid w:val="1B755E69"/>
    <w:rsid w:val="1B765B69"/>
    <w:rsid w:val="1B7F6F38"/>
    <w:rsid w:val="1B915731"/>
    <w:rsid w:val="1B92386A"/>
    <w:rsid w:val="1B9456F3"/>
    <w:rsid w:val="1B9B4505"/>
    <w:rsid w:val="1B9B7E94"/>
    <w:rsid w:val="1BAD4238"/>
    <w:rsid w:val="1BAF7FB0"/>
    <w:rsid w:val="1BB13E93"/>
    <w:rsid w:val="1BB455C7"/>
    <w:rsid w:val="1BB53AA8"/>
    <w:rsid w:val="1BBC15AA"/>
    <w:rsid w:val="1BC03F6C"/>
    <w:rsid w:val="1BC53330"/>
    <w:rsid w:val="1BCF50C8"/>
    <w:rsid w:val="1BD37F61"/>
    <w:rsid w:val="1BD90084"/>
    <w:rsid w:val="1BD91C9A"/>
    <w:rsid w:val="1BE550F6"/>
    <w:rsid w:val="1BE57C2C"/>
    <w:rsid w:val="1BEC6B0F"/>
    <w:rsid w:val="1BFC21A7"/>
    <w:rsid w:val="1C062F35"/>
    <w:rsid w:val="1C0E0376"/>
    <w:rsid w:val="1C145B27"/>
    <w:rsid w:val="1C183B46"/>
    <w:rsid w:val="1C19158B"/>
    <w:rsid w:val="1C2C1601"/>
    <w:rsid w:val="1C3546C5"/>
    <w:rsid w:val="1C47468D"/>
    <w:rsid w:val="1C480255"/>
    <w:rsid w:val="1C632B49"/>
    <w:rsid w:val="1C654B13"/>
    <w:rsid w:val="1C7F5BD5"/>
    <w:rsid w:val="1C8A73FF"/>
    <w:rsid w:val="1C8E3D19"/>
    <w:rsid w:val="1C90036E"/>
    <w:rsid w:val="1CA7010B"/>
    <w:rsid w:val="1CA94A00"/>
    <w:rsid w:val="1CB07CEC"/>
    <w:rsid w:val="1CC932F4"/>
    <w:rsid w:val="1CDA105D"/>
    <w:rsid w:val="1CDB5E4A"/>
    <w:rsid w:val="1CE43C8A"/>
    <w:rsid w:val="1CE7177B"/>
    <w:rsid w:val="1CE9231D"/>
    <w:rsid w:val="1CEC3C84"/>
    <w:rsid w:val="1CEF18CE"/>
    <w:rsid w:val="1CEF7A9B"/>
    <w:rsid w:val="1CF11C46"/>
    <w:rsid w:val="1CF92E29"/>
    <w:rsid w:val="1CFA5639"/>
    <w:rsid w:val="1CFF3694"/>
    <w:rsid w:val="1D0460DA"/>
    <w:rsid w:val="1D0C7E86"/>
    <w:rsid w:val="1D152095"/>
    <w:rsid w:val="1D1B7BA2"/>
    <w:rsid w:val="1D214EDE"/>
    <w:rsid w:val="1D406117"/>
    <w:rsid w:val="1D417E0F"/>
    <w:rsid w:val="1D46666D"/>
    <w:rsid w:val="1D4B5DDE"/>
    <w:rsid w:val="1D526E45"/>
    <w:rsid w:val="1D554B87"/>
    <w:rsid w:val="1D593817"/>
    <w:rsid w:val="1D5C3F40"/>
    <w:rsid w:val="1D5D06F2"/>
    <w:rsid w:val="1D5F5A06"/>
    <w:rsid w:val="1D603555"/>
    <w:rsid w:val="1D686763"/>
    <w:rsid w:val="1D7603C1"/>
    <w:rsid w:val="1D784C23"/>
    <w:rsid w:val="1D7C2114"/>
    <w:rsid w:val="1D8334A3"/>
    <w:rsid w:val="1D8B4FA7"/>
    <w:rsid w:val="1D8C7F7D"/>
    <w:rsid w:val="1D8D3DE7"/>
    <w:rsid w:val="1D8F16F3"/>
    <w:rsid w:val="1D9D5B62"/>
    <w:rsid w:val="1D9E0899"/>
    <w:rsid w:val="1DA120B3"/>
    <w:rsid w:val="1DB01DBE"/>
    <w:rsid w:val="1DBB04B4"/>
    <w:rsid w:val="1DCC0AC3"/>
    <w:rsid w:val="1DCC42E2"/>
    <w:rsid w:val="1DE008F5"/>
    <w:rsid w:val="1DF47E8E"/>
    <w:rsid w:val="1DFD5F2E"/>
    <w:rsid w:val="1DFE6FCD"/>
    <w:rsid w:val="1E0F11DA"/>
    <w:rsid w:val="1E1641B2"/>
    <w:rsid w:val="1E1F2351"/>
    <w:rsid w:val="1E28404A"/>
    <w:rsid w:val="1E2D73BB"/>
    <w:rsid w:val="1E3649B9"/>
    <w:rsid w:val="1E4D0956"/>
    <w:rsid w:val="1E522FB0"/>
    <w:rsid w:val="1E5F0B0F"/>
    <w:rsid w:val="1E685803"/>
    <w:rsid w:val="1E6A643B"/>
    <w:rsid w:val="1E6C03DB"/>
    <w:rsid w:val="1E714D89"/>
    <w:rsid w:val="1E722A18"/>
    <w:rsid w:val="1E7328DC"/>
    <w:rsid w:val="1E7828DC"/>
    <w:rsid w:val="1E7B6870"/>
    <w:rsid w:val="1E8C45D9"/>
    <w:rsid w:val="1E905987"/>
    <w:rsid w:val="1E906461"/>
    <w:rsid w:val="1E94348E"/>
    <w:rsid w:val="1E985212"/>
    <w:rsid w:val="1E9A4F48"/>
    <w:rsid w:val="1E9D0594"/>
    <w:rsid w:val="1EB373A1"/>
    <w:rsid w:val="1EB90FAC"/>
    <w:rsid w:val="1EC360C5"/>
    <w:rsid w:val="1EC41876"/>
    <w:rsid w:val="1ECE074D"/>
    <w:rsid w:val="1ED54DF8"/>
    <w:rsid w:val="1EE61F3B"/>
    <w:rsid w:val="1EFB350D"/>
    <w:rsid w:val="1F041137"/>
    <w:rsid w:val="1F0423C1"/>
    <w:rsid w:val="1F046865"/>
    <w:rsid w:val="1F06523F"/>
    <w:rsid w:val="1F093E7B"/>
    <w:rsid w:val="1F0E1492"/>
    <w:rsid w:val="1F10520A"/>
    <w:rsid w:val="1F152820"/>
    <w:rsid w:val="1F15637C"/>
    <w:rsid w:val="1F186D93"/>
    <w:rsid w:val="1F2670F8"/>
    <w:rsid w:val="1F4153C3"/>
    <w:rsid w:val="1F417171"/>
    <w:rsid w:val="1F4C2611"/>
    <w:rsid w:val="1F4D1896"/>
    <w:rsid w:val="1F505606"/>
    <w:rsid w:val="1F5315F5"/>
    <w:rsid w:val="1F550E6F"/>
    <w:rsid w:val="1F620A4B"/>
    <w:rsid w:val="1F646143"/>
    <w:rsid w:val="1F750F88"/>
    <w:rsid w:val="1F753BE1"/>
    <w:rsid w:val="1F77159D"/>
    <w:rsid w:val="1F9B14F3"/>
    <w:rsid w:val="1F9C4CF0"/>
    <w:rsid w:val="1FAB21DA"/>
    <w:rsid w:val="1FB33D9A"/>
    <w:rsid w:val="1FB85924"/>
    <w:rsid w:val="1FBC4A4A"/>
    <w:rsid w:val="1FBD1471"/>
    <w:rsid w:val="1FC60788"/>
    <w:rsid w:val="1FCA53B9"/>
    <w:rsid w:val="1FCF0C21"/>
    <w:rsid w:val="1FD76312"/>
    <w:rsid w:val="1FF4708E"/>
    <w:rsid w:val="2005116B"/>
    <w:rsid w:val="200A7EAB"/>
    <w:rsid w:val="200B3131"/>
    <w:rsid w:val="2014177F"/>
    <w:rsid w:val="20150C7D"/>
    <w:rsid w:val="202B0551"/>
    <w:rsid w:val="202D76F6"/>
    <w:rsid w:val="202E53A2"/>
    <w:rsid w:val="203B694E"/>
    <w:rsid w:val="20457135"/>
    <w:rsid w:val="204C773B"/>
    <w:rsid w:val="20573810"/>
    <w:rsid w:val="205B0707"/>
    <w:rsid w:val="206F00EF"/>
    <w:rsid w:val="2076321F"/>
    <w:rsid w:val="20855A2A"/>
    <w:rsid w:val="209D0D1F"/>
    <w:rsid w:val="20AF3D08"/>
    <w:rsid w:val="20B322F1"/>
    <w:rsid w:val="20B8359C"/>
    <w:rsid w:val="20CD2236"/>
    <w:rsid w:val="20CE0ED9"/>
    <w:rsid w:val="20D83B05"/>
    <w:rsid w:val="20F8757B"/>
    <w:rsid w:val="21026DD4"/>
    <w:rsid w:val="21052B6D"/>
    <w:rsid w:val="210D2CAD"/>
    <w:rsid w:val="211014F1"/>
    <w:rsid w:val="21117017"/>
    <w:rsid w:val="21152701"/>
    <w:rsid w:val="21185B4C"/>
    <w:rsid w:val="2123202F"/>
    <w:rsid w:val="212320A6"/>
    <w:rsid w:val="212C5E9D"/>
    <w:rsid w:val="212D2AC1"/>
    <w:rsid w:val="21362CC2"/>
    <w:rsid w:val="213969F5"/>
    <w:rsid w:val="21433AC5"/>
    <w:rsid w:val="214967B1"/>
    <w:rsid w:val="214974F7"/>
    <w:rsid w:val="21544229"/>
    <w:rsid w:val="21577120"/>
    <w:rsid w:val="216A5DC9"/>
    <w:rsid w:val="2172483A"/>
    <w:rsid w:val="217D46AD"/>
    <w:rsid w:val="218628EB"/>
    <w:rsid w:val="218A212C"/>
    <w:rsid w:val="218E2416"/>
    <w:rsid w:val="219A6A17"/>
    <w:rsid w:val="219D08AB"/>
    <w:rsid w:val="21A12149"/>
    <w:rsid w:val="21AD3800"/>
    <w:rsid w:val="21B77BBF"/>
    <w:rsid w:val="21C14A16"/>
    <w:rsid w:val="21C30312"/>
    <w:rsid w:val="21D8321C"/>
    <w:rsid w:val="21DD49DE"/>
    <w:rsid w:val="21E07116"/>
    <w:rsid w:val="21E344C4"/>
    <w:rsid w:val="21E35AA6"/>
    <w:rsid w:val="21E40D7C"/>
    <w:rsid w:val="21E71FFE"/>
    <w:rsid w:val="21E87D78"/>
    <w:rsid w:val="21F921CA"/>
    <w:rsid w:val="21FC5C55"/>
    <w:rsid w:val="21FC7CC7"/>
    <w:rsid w:val="2201708C"/>
    <w:rsid w:val="220A23E4"/>
    <w:rsid w:val="22146DBF"/>
    <w:rsid w:val="221477F3"/>
    <w:rsid w:val="22237002"/>
    <w:rsid w:val="22284619"/>
    <w:rsid w:val="22301D16"/>
    <w:rsid w:val="22350AE4"/>
    <w:rsid w:val="223B0049"/>
    <w:rsid w:val="224A458F"/>
    <w:rsid w:val="224C6559"/>
    <w:rsid w:val="22525B39"/>
    <w:rsid w:val="225D4B07"/>
    <w:rsid w:val="22665F58"/>
    <w:rsid w:val="226C6BFB"/>
    <w:rsid w:val="2277734E"/>
    <w:rsid w:val="22793BBC"/>
    <w:rsid w:val="227C4964"/>
    <w:rsid w:val="227E248B"/>
    <w:rsid w:val="22993768"/>
    <w:rsid w:val="229D54E0"/>
    <w:rsid w:val="22BD2FB3"/>
    <w:rsid w:val="22C01CD2"/>
    <w:rsid w:val="22D212FF"/>
    <w:rsid w:val="22DA5880"/>
    <w:rsid w:val="22E44C27"/>
    <w:rsid w:val="22E54367"/>
    <w:rsid w:val="22EE13BE"/>
    <w:rsid w:val="22F8048F"/>
    <w:rsid w:val="22F93C1A"/>
    <w:rsid w:val="22FD7E70"/>
    <w:rsid w:val="23040BE2"/>
    <w:rsid w:val="23055C0C"/>
    <w:rsid w:val="23076924"/>
    <w:rsid w:val="2309269C"/>
    <w:rsid w:val="23185D2C"/>
    <w:rsid w:val="231921B3"/>
    <w:rsid w:val="23272B22"/>
    <w:rsid w:val="232849EB"/>
    <w:rsid w:val="2329409B"/>
    <w:rsid w:val="233139A1"/>
    <w:rsid w:val="23326FD5"/>
    <w:rsid w:val="23403BE4"/>
    <w:rsid w:val="23506171"/>
    <w:rsid w:val="236009DB"/>
    <w:rsid w:val="23800693"/>
    <w:rsid w:val="2388529D"/>
    <w:rsid w:val="23892DD3"/>
    <w:rsid w:val="239A1EB4"/>
    <w:rsid w:val="239F1265"/>
    <w:rsid w:val="23A128D5"/>
    <w:rsid w:val="23A648AB"/>
    <w:rsid w:val="23BC770E"/>
    <w:rsid w:val="23BD63C2"/>
    <w:rsid w:val="23C765AD"/>
    <w:rsid w:val="23E0149C"/>
    <w:rsid w:val="23E143F0"/>
    <w:rsid w:val="23ED1676"/>
    <w:rsid w:val="23F92711"/>
    <w:rsid w:val="23FF176B"/>
    <w:rsid w:val="24013DA0"/>
    <w:rsid w:val="240670F5"/>
    <w:rsid w:val="2407262C"/>
    <w:rsid w:val="240D7F6A"/>
    <w:rsid w:val="24217418"/>
    <w:rsid w:val="242332EA"/>
    <w:rsid w:val="2435605B"/>
    <w:rsid w:val="2438312D"/>
    <w:rsid w:val="24455956"/>
    <w:rsid w:val="245711E5"/>
    <w:rsid w:val="245B0CD5"/>
    <w:rsid w:val="245E06C1"/>
    <w:rsid w:val="24680BFB"/>
    <w:rsid w:val="24681969"/>
    <w:rsid w:val="246E1704"/>
    <w:rsid w:val="247B6BB9"/>
    <w:rsid w:val="248114AB"/>
    <w:rsid w:val="24877D1C"/>
    <w:rsid w:val="248D2056"/>
    <w:rsid w:val="248D52AA"/>
    <w:rsid w:val="2498257E"/>
    <w:rsid w:val="24A87C93"/>
    <w:rsid w:val="24AC7783"/>
    <w:rsid w:val="24B01EC0"/>
    <w:rsid w:val="24B77ED6"/>
    <w:rsid w:val="24BF30E1"/>
    <w:rsid w:val="24CB7DE6"/>
    <w:rsid w:val="24D62338"/>
    <w:rsid w:val="24DA6C0C"/>
    <w:rsid w:val="24EA2059"/>
    <w:rsid w:val="24EA46B6"/>
    <w:rsid w:val="24EB1313"/>
    <w:rsid w:val="24EC4023"/>
    <w:rsid w:val="25055730"/>
    <w:rsid w:val="25121DC4"/>
    <w:rsid w:val="25160F79"/>
    <w:rsid w:val="25186BC6"/>
    <w:rsid w:val="251A4039"/>
    <w:rsid w:val="251B33AA"/>
    <w:rsid w:val="25251ED4"/>
    <w:rsid w:val="2529439A"/>
    <w:rsid w:val="252F7B98"/>
    <w:rsid w:val="25483AFB"/>
    <w:rsid w:val="2551032A"/>
    <w:rsid w:val="255C3FF5"/>
    <w:rsid w:val="25641E0C"/>
    <w:rsid w:val="256E2018"/>
    <w:rsid w:val="2574427F"/>
    <w:rsid w:val="25753994"/>
    <w:rsid w:val="25761584"/>
    <w:rsid w:val="25847B27"/>
    <w:rsid w:val="25970989"/>
    <w:rsid w:val="259E53F1"/>
    <w:rsid w:val="25AC5561"/>
    <w:rsid w:val="25B204FF"/>
    <w:rsid w:val="25BA54E1"/>
    <w:rsid w:val="25C639AE"/>
    <w:rsid w:val="25C92FE5"/>
    <w:rsid w:val="25EA5D3C"/>
    <w:rsid w:val="25ED55E1"/>
    <w:rsid w:val="25F56855"/>
    <w:rsid w:val="25F767DC"/>
    <w:rsid w:val="25FC0296"/>
    <w:rsid w:val="261029D6"/>
    <w:rsid w:val="261215B6"/>
    <w:rsid w:val="2613175F"/>
    <w:rsid w:val="26143832"/>
    <w:rsid w:val="26154EB4"/>
    <w:rsid w:val="261F21D6"/>
    <w:rsid w:val="26200F70"/>
    <w:rsid w:val="26217CFD"/>
    <w:rsid w:val="262F241A"/>
    <w:rsid w:val="26317A76"/>
    <w:rsid w:val="263778BD"/>
    <w:rsid w:val="263D7C28"/>
    <w:rsid w:val="26412D25"/>
    <w:rsid w:val="26415CA9"/>
    <w:rsid w:val="26467763"/>
    <w:rsid w:val="264F43C6"/>
    <w:rsid w:val="26570912"/>
    <w:rsid w:val="265E3D08"/>
    <w:rsid w:val="266262F0"/>
    <w:rsid w:val="26631813"/>
    <w:rsid w:val="266D6683"/>
    <w:rsid w:val="267A4585"/>
    <w:rsid w:val="268608D9"/>
    <w:rsid w:val="26870840"/>
    <w:rsid w:val="268B6CC8"/>
    <w:rsid w:val="268E7EF3"/>
    <w:rsid w:val="26963C5B"/>
    <w:rsid w:val="26B4291F"/>
    <w:rsid w:val="26B50445"/>
    <w:rsid w:val="26BE1C05"/>
    <w:rsid w:val="26C50688"/>
    <w:rsid w:val="26CA3EF0"/>
    <w:rsid w:val="26CB1A16"/>
    <w:rsid w:val="26D1527F"/>
    <w:rsid w:val="26D703BB"/>
    <w:rsid w:val="26DB60FD"/>
    <w:rsid w:val="26E24B50"/>
    <w:rsid w:val="26E55C38"/>
    <w:rsid w:val="26FF6348"/>
    <w:rsid w:val="27066CF8"/>
    <w:rsid w:val="27084A19"/>
    <w:rsid w:val="271110EB"/>
    <w:rsid w:val="27163F64"/>
    <w:rsid w:val="275822D0"/>
    <w:rsid w:val="275D7324"/>
    <w:rsid w:val="275F5B31"/>
    <w:rsid w:val="27614875"/>
    <w:rsid w:val="2776022D"/>
    <w:rsid w:val="27803884"/>
    <w:rsid w:val="27833236"/>
    <w:rsid w:val="27960276"/>
    <w:rsid w:val="279F704D"/>
    <w:rsid w:val="27A47094"/>
    <w:rsid w:val="27A6670B"/>
    <w:rsid w:val="27A9421D"/>
    <w:rsid w:val="27AB36CC"/>
    <w:rsid w:val="27BD593E"/>
    <w:rsid w:val="27C94113"/>
    <w:rsid w:val="27CA7770"/>
    <w:rsid w:val="27CB2DDD"/>
    <w:rsid w:val="27D05536"/>
    <w:rsid w:val="27D112AE"/>
    <w:rsid w:val="27F751B9"/>
    <w:rsid w:val="28062601"/>
    <w:rsid w:val="280E5A31"/>
    <w:rsid w:val="280E7F3B"/>
    <w:rsid w:val="28145128"/>
    <w:rsid w:val="28156CDF"/>
    <w:rsid w:val="281D0E46"/>
    <w:rsid w:val="281F5EBD"/>
    <w:rsid w:val="282011E6"/>
    <w:rsid w:val="282D1C15"/>
    <w:rsid w:val="28327F9F"/>
    <w:rsid w:val="284C2105"/>
    <w:rsid w:val="285048C9"/>
    <w:rsid w:val="285A367B"/>
    <w:rsid w:val="285A74F6"/>
    <w:rsid w:val="285E6D69"/>
    <w:rsid w:val="285F1C26"/>
    <w:rsid w:val="28687E65"/>
    <w:rsid w:val="286B525F"/>
    <w:rsid w:val="286F3AAB"/>
    <w:rsid w:val="28773C04"/>
    <w:rsid w:val="28827829"/>
    <w:rsid w:val="28875F17"/>
    <w:rsid w:val="288B5901"/>
    <w:rsid w:val="289354B3"/>
    <w:rsid w:val="28AD5948"/>
    <w:rsid w:val="28B135BA"/>
    <w:rsid w:val="28DA5A9E"/>
    <w:rsid w:val="28E1055B"/>
    <w:rsid w:val="28F23C43"/>
    <w:rsid w:val="28F33BD2"/>
    <w:rsid w:val="28F43274"/>
    <w:rsid w:val="28FF6B78"/>
    <w:rsid w:val="29001E4B"/>
    <w:rsid w:val="291D6C1C"/>
    <w:rsid w:val="292E4558"/>
    <w:rsid w:val="29312005"/>
    <w:rsid w:val="293C38A2"/>
    <w:rsid w:val="29536324"/>
    <w:rsid w:val="29773507"/>
    <w:rsid w:val="297A5653"/>
    <w:rsid w:val="297B3BC8"/>
    <w:rsid w:val="29832E44"/>
    <w:rsid w:val="2984657D"/>
    <w:rsid w:val="298C1931"/>
    <w:rsid w:val="298D6CA3"/>
    <w:rsid w:val="29977F60"/>
    <w:rsid w:val="29A6452E"/>
    <w:rsid w:val="29A924E3"/>
    <w:rsid w:val="29B53D95"/>
    <w:rsid w:val="29B766AD"/>
    <w:rsid w:val="29BA1561"/>
    <w:rsid w:val="29BC04B1"/>
    <w:rsid w:val="29C56BF1"/>
    <w:rsid w:val="29CA7B84"/>
    <w:rsid w:val="29CD51FC"/>
    <w:rsid w:val="29D417D3"/>
    <w:rsid w:val="29D84D3D"/>
    <w:rsid w:val="29E53FB4"/>
    <w:rsid w:val="29ED0EB8"/>
    <w:rsid w:val="29F00112"/>
    <w:rsid w:val="2A005C83"/>
    <w:rsid w:val="2A0239A1"/>
    <w:rsid w:val="2A0E0DFB"/>
    <w:rsid w:val="2A2D4EC2"/>
    <w:rsid w:val="2A2D67DD"/>
    <w:rsid w:val="2A3F0751"/>
    <w:rsid w:val="2A41271B"/>
    <w:rsid w:val="2A470639"/>
    <w:rsid w:val="2A481CFC"/>
    <w:rsid w:val="2A506C90"/>
    <w:rsid w:val="2A561EA8"/>
    <w:rsid w:val="2A576796"/>
    <w:rsid w:val="2A606EDC"/>
    <w:rsid w:val="2A6C1D1F"/>
    <w:rsid w:val="2A7A22D0"/>
    <w:rsid w:val="2A7C31C2"/>
    <w:rsid w:val="2A8A2314"/>
    <w:rsid w:val="2A904609"/>
    <w:rsid w:val="2A9D36CA"/>
    <w:rsid w:val="2A9F5694"/>
    <w:rsid w:val="2AA557CB"/>
    <w:rsid w:val="2AA826C2"/>
    <w:rsid w:val="2AAB228B"/>
    <w:rsid w:val="2ABE5B1A"/>
    <w:rsid w:val="2ACE1AD5"/>
    <w:rsid w:val="2AD1220B"/>
    <w:rsid w:val="2AE00186"/>
    <w:rsid w:val="2AF61758"/>
    <w:rsid w:val="2AFA28CA"/>
    <w:rsid w:val="2B1A0D89"/>
    <w:rsid w:val="2B2469FC"/>
    <w:rsid w:val="2B2471CB"/>
    <w:rsid w:val="2B2A6AA7"/>
    <w:rsid w:val="2B34402E"/>
    <w:rsid w:val="2B370599"/>
    <w:rsid w:val="2B37188B"/>
    <w:rsid w:val="2B3C1135"/>
    <w:rsid w:val="2B4E080A"/>
    <w:rsid w:val="2B520D61"/>
    <w:rsid w:val="2B5841C1"/>
    <w:rsid w:val="2B634913"/>
    <w:rsid w:val="2B8232F7"/>
    <w:rsid w:val="2B8279CD"/>
    <w:rsid w:val="2B8D2924"/>
    <w:rsid w:val="2B90790F"/>
    <w:rsid w:val="2B9A3E30"/>
    <w:rsid w:val="2B9C63CF"/>
    <w:rsid w:val="2BA35C35"/>
    <w:rsid w:val="2BC030CE"/>
    <w:rsid w:val="2BC37160"/>
    <w:rsid w:val="2BD75788"/>
    <w:rsid w:val="2BF4708D"/>
    <w:rsid w:val="2BF8505C"/>
    <w:rsid w:val="2C0734F1"/>
    <w:rsid w:val="2C1005BD"/>
    <w:rsid w:val="2C23077D"/>
    <w:rsid w:val="2C33078A"/>
    <w:rsid w:val="2C4975E6"/>
    <w:rsid w:val="2C4B5EF4"/>
    <w:rsid w:val="2C5B3FD3"/>
    <w:rsid w:val="2C5F1BEA"/>
    <w:rsid w:val="2C63738B"/>
    <w:rsid w:val="2C695F59"/>
    <w:rsid w:val="2C807ABC"/>
    <w:rsid w:val="2C986AA0"/>
    <w:rsid w:val="2CA43029"/>
    <w:rsid w:val="2CA77D06"/>
    <w:rsid w:val="2CBF5B79"/>
    <w:rsid w:val="2CC03A03"/>
    <w:rsid w:val="2CC501A5"/>
    <w:rsid w:val="2CC969F8"/>
    <w:rsid w:val="2CD442BA"/>
    <w:rsid w:val="2CF03F85"/>
    <w:rsid w:val="2CF717B7"/>
    <w:rsid w:val="2CF81B9A"/>
    <w:rsid w:val="2D044076"/>
    <w:rsid w:val="2D0619FA"/>
    <w:rsid w:val="2D066EEE"/>
    <w:rsid w:val="2D0B0DBF"/>
    <w:rsid w:val="2D1B707D"/>
    <w:rsid w:val="2D2A393B"/>
    <w:rsid w:val="2D3E1194"/>
    <w:rsid w:val="2D4C4F1F"/>
    <w:rsid w:val="2D4F15F3"/>
    <w:rsid w:val="2D55022E"/>
    <w:rsid w:val="2D550DC4"/>
    <w:rsid w:val="2D5C0325"/>
    <w:rsid w:val="2D5F309B"/>
    <w:rsid w:val="2D651692"/>
    <w:rsid w:val="2D686211"/>
    <w:rsid w:val="2D6D7CCB"/>
    <w:rsid w:val="2D785F05"/>
    <w:rsid w:val="2D891C8F"/>
    <w:rsid w:val="2D9628C1"/>
    <w:rsid w:val="2DA16028"/>
    <w:rsid w:val="2DA27975"/>
    <w:rsid w:val="2DC23F88"/>
    <w:rsid w:val="2DCA7FED"/>
    <w:rsid w:val="2DCD6CA3"/>
    <w:rsid w:val="2DD70568"/>
    <w:rsid w:val="2DDE7D71"/>
    <w:rsid w:val="2DEC6E42"/>
    <w:rsid w:val="2E016930"/>
    <w:rsid w:val="2E03394B"/>
    <w:rsid w:val="2E0C4DEE"/>
    <w:rsid w:val="2E1168A9"/>
    <w:rsid w:val="2E1F46CF"/>
    <w:rsid w:val="2E254102"/>
    <w:rsid w:val="2E28672B"/>
    <w:rsid w:val="2E2A0654"/>
    <w:rsid w:val="2E2A2923"/>
    <w:rsid w:val="2E3232F1"/>
    <w:rsid w:val="2E437C7A"/>
    <w:rsid w:val="2E4D3874"/>
    <w:rsid w:val="2E5659CA"/>
    <w:rsid w:val="2E610749"/>
    <w:rsid w:val="2E6C4E5A"/>
    <w:rsid w:val="2E7130B3"/>
    <w:rsid w:val="2E714872"/>
    <w:rsid w:val="2E7908E1"/>
    <w:rsid w:val="2E793C56"/>
    <w:rsid w:val="2E7B3D22"/>
    <w:rsid w:val="2E7D5CEC"/>
    <w:rsid w:val="2E804F3D"/>
    <w:rsid w:val="2E8C4181"/>
    <w:rsid w:val="2E9372BE"/>
    <w:rsid w:val="2E9F2106"/>
    <w:rsid w:val="2EA05E56"/>
    <w:rsid w:val="2EA54A63"/>
    <w:rsid w:val="2EAA2BC1"/>
    <w:rsid w:val="2EAB4183"/>
    <w:rsid w:val="2EB6148B"/>
    <w:rsid w:val="2EBA0CEE"/>
    <w:rsid w:val="2EC573DF"/>
    <w:rsid w:val="2EC612D7"/>
    <w:rsid w:val="2ECE6548"/>
    <w:rsid w:val="2EDE49DD"/>
    <w:rsid w:val="2EE13AA5"/>
    <w:rsid w:val="2EEC5A5C"/>
    <w:rsid w:val="2EF35FAE"/>
    <w:rsid w:val="2EF523B2"/>
    <w:rsid w:val="2EFE3B74"/>
    <w:rsid w:val="2F000DF7"/>
    <w:rsid w:val="2F01405A"/>
    <w:rsid w:val="2F032695"/>
    <w:rsid w:val="2F072EA3"/>
    <w:rsid w:val="2F0B3EEC"/>
    <w:rsid w:val="2F0B78CD"/>
    <w:rsid w:val="2F193C67"/>
    <w:rsid w:val="2F3F77EA"/>
    <w:rsid w:val="2F4D1B62"/>
    <w:rsid w:val="2F5729E1"/>
    <w:rsid w:val="2F57478F"/>
    <w:rsid w:val="2F5C1B6F"/>
    <w:rsid w:val="2F5D19C6"/>
    <w:rsid w:val="2F63610E"/>
    <w:rsid w:val="2F683415"/>
    <w:rsid w:val="2F691799"/>
    <w:rsid w:val="2F706674"/>
    <w:rsid w:val="2F7A2A23"/>
    <w:rsid w:val="2F7C038A"/>
    <w:rsid w:val="2F823714"/>
    <w:rsid w:val="2F8530AA"/>
    <w:rsid w:val="2F85474A"/>
    <w:rsid w:val="2F880DEC"/>
    <w:rsid w:val="2F9C03F4"/>
    <w:rsid w:val="2FA01C92"/>
    <w:rsid w:val="2FAB67FB"/>
    <w:rsid w:val="2FAE702D"/>
    <w:rsid w:val="2FB26DA6"/>
    <w:rsid w:val="2FB57ED9"/>
    <w:rsid w:val="2FB63264"/>
    <w:rsid w:val="2FC35981"/>
    <w:rsid w:val="2FCA2BFB"/>
    <w:rsid w:val="2FCD169E"/>
    <w:rsid w:val="2FD04A51"/>
    <w:rsid w:val="2FE34275"/>
    <w:rsid w:val="2FE71289"/>
    <w:rsid w:val="2FF50E35"/>
    <w:rsid w:val="2FFD70E5"/>
    <w:rsid w:val="30055F99"/>
    <w:rsid w:val="300D6CA5"/>
    <w:rsid w:val="30116ABE"/>
    <w:rsid w:val="3014442E"/>
    <w:rsid w:val="30161F54"/>
    <w:rsid w:val="30271822"/>
    <w:rsid w:val="302C025B"/>
    <w:rsid w:val="30322DED"/>
    <w:rsid w:val="303643A5"/>
    <w:rsid w:val="3052472E"/>
    <w:rsid w:val="30563CE3"/>
    <w:rsid w:val="30701433"/>
    <w:rsid w:val="307373A7"/>
    <w:rsid w:val="307F1E59"/>
    <w:rsid w:val="30817D16"/>
    <w:rsid w:val="308C2216"/>
    <w:rsid w:val="3091782D"/>
    <w:rsid w:val="30961394"/>
    <w:rsid w:val="30A12166"/>
    <w:rsid w:val="30A759E2"/>
    <w:rsid w:val="30BB64F6"/>
    <w:rsid w:val="30BC1456"/>
    <w:rsid w:val="30C419B0"/>
    <w:rsid w:val="30C41C15"/>
    <w:rsid w:val="30CB2D3F"/>
    <w:rsid w:val="30CC4A9F"/>
    <w:rsid w:val="30D90447"/>
    <w:rsid w:val="30DF4A3C"/>
    <w:rsid w:val="30E3277E"/>
    <w:rsid w:val="30E46475"/>
    <w:rsid w:val="30E46C9E"/>
    <w:rsid w:val="30E81C16"/>
    <w:rsid w:val="30FA1876"/>
    <w:rsid w:val="310B20C8"/>
    <w:rsid w:val="310B3A83"/>
    <w:rsid w:val="310B5831"/>
    <w:rsid w:val="311A5A74"/>
    <w:rsid w:val="31206230"/>
    <w:rsid w:val="312406A1"/>
    <w:rsid w:val="31285962"/>
    <w:rsid w:val="312B111C"/>
    <w:rsid w:val="312F77D8"/>
    <w:rsid w:val="31322DBE"/>
    <w:rsid w:val="31345D88"/>
    <w:rsid w:val="313703D4"/>
    <w:rsid w:val="313803F2"/>
    <w:rsid w:val="313872C0"/>
    <w:rsid w:val="314F3970"/>
    <w:rsid w:val="315216B2"/>
    <w:rsid w:val="31695162"/>
    <w:rsid w:val="316A5099"/>
    <w:rsid w:val="31740640"/>
    <w:rsid w:val="31750716"/>
    <w:rsid w:val="31864EB8"/>
    <w:rsid w:val="318F0210"/>
    <w:rsid w:val="31A02CF1"/>
    <w:rsid w:val="31A3313F"/>
    <w:rsid w:val="31B732C3"/>
    <w:rsid w:val="31BE4652"/>
    <w:rsid w:val="31C14142"/>
    <w:rsid w:val="31C525D3"/>
    <w:rsid w:val="31C62002"/>
    <w:rsid w:val="31C675CB"/>
    <w:rsid w:val="31C95503"/>
    <w:rsid w:val="31CF3B14"/>
    <w:rsid w:val="31D96F17"/>
    <w:rsid w:val="31DD2142"/>
    <w:rsid w:val="31DE2F46"/>
    <w:rsid w:val="31E0281A"/>
    <w:rsid w:val="31E83DC4"/>
    <w:rsid w:val="31EF6F01"/>
    <w:rsid w:val="31F84007"/>
    <w:rsid w:val="31FA1891"/>
    <w:rsid w:val="31FF2E0B"/>
    <w:rsid w:val="32026C34"/>
    <w:rsid w:val="32075F0D"/>
    <w:rsid w:val="32075FF9"/>
    <w:rsid w:val="3216418C"/>
    <w:rsid w:val="323B0398"/>
    <w:rsid w:val="323D1A1A"/>
    <w:rsid w:val="325A7278"/>
    <w:rsid w:val="325C3C5B"/>
    <w:rsid w:val="326A2A2B"/>
    <w:rsid w:val="32847F41"/>
    <w:rsid w:val="32891103"/>
    <w:rsid w:val="328B6E50"/>
    <w:rsid w:val="32906F2F"/>
    <w:rsid w:val="32980E28"/>
    <w:rsid w:val="329A587E"/>
    <w:rsid w:val="32A40188"/>
    <w:rsid w:val="32AC2754"/>
    <w:rsid w:val="32B51EF8"/>
    <w:rsid w:val="32BC530B"/>
    <w:rsid w:val="32BD71EB"/>
    <w:rsid w:val="32C0264B"/>
    <w:rsid w:val="32C43EEA"/>
    <w:rsid w:val="32CA419A"/>
    <w:rsid w:val="32D61E6F"/>
    <w:rsid w:val="32D64F05"/>
    <w:rsid w:val="32E24A1E"/>
    <w:rsid w:val="32E26093"/>
    <w:rsid w:val="32E30E0E"/>
    <w:rsid w:val="33114C55"/>
    <w:rsid w:val="331E5ED5"/>
    <w:rsid w:val="33292712"/>
    <w:rsid w:val="332C190E"/>
    <w:rsid w:val="333003F3"/>
    <w:rsid w:val="33357125"/>
    <w:rsid w:val="333C4C69"/>
    <w:rsid w:val="333F3C2B"/>
    <w:rsid w:val="33412596"/>
    <w:rsid w:val="3344436F"/>
    <w:rsid w:val="334D461D"/>
    <w:rsid w:val="33524ECE"/>
    <w:rsid w:val="33586F44"/>
    <w:rsid w:val="3361798A"/>
    <w:rsid w:val="33643A42"/>
    <w:rsid w:val="33686A3C"/>
    <w:rsid w:val="337A0A4C"/>
    <w:rsid w:val="337F5A83"/>
    <w:rsid w:val="33801E1F"/>
    <w:rsid w:val="33960422"/>
    <w:rsid w:val="33A32182"/>
    <w:rsid w:val="33A724DB"/>
    <w:rsid w:val="33AB6E58"/>
    <w:rsid w:val="33B04D92"/>
    <w:rsid w:val="33B30054"/>
    <w:rsid w:val="33BA709B"/>
    <w:rsid w:val="33C1667B"/>
    <w:rsid w:val="33C456AF"/>
    <w:rsid w:val="33C47BFB"/>
    <w:rsid w:val="33CD3272"/>
    <w:rsid w:val="33D31FAA"/>
    <w:rsid w:val="33E15DFE"/>
    <w:rsid w:val="33EA53C3"/>
    <w:rsid w:val="33F627C9"/>
    <w:rsid w:val="33F65C66"/>
    <w:rsid w:val="33FD148A"/>
    <w:rsid w:val="340D0FC8"/>
    <w:rsid w:val="340D2888"/>
    <w:rsid w:val="340F388A"/>
    <w:rsid w:val="340F5638"/>
    <w:rsid w:val="34161562"/>
    <w:rsid w:val="34182F7B"/>
    <w:rsid w:val="342233E1"/>
    <w:rsid w:val="343D1634"/>
    <w:rsid w:val="344A041F"/>
    <w:rsid w:val="344A66AB"/>
    <w:rsid w:val="34561A0A"/>
    <w:rsid w:val="345669E3"/>
    <w:rsid w:val="345B6AD0"/>
    <w:rsid w:val="34873421"/>
    <w:rsid w:val="348A4CBF"/>
    <w:rsid w:val="3490034D"/>
    <w:rsid w:val="34936269"/>
    <w:rsid w:val="349F158C"/>
    <w:rsid w:val="349F3C9E"/>
    <w:rsid w:val="34A05D95"/>
    <w:rsid w:val="34AE6FF3"/>
    <w:rsid w:val="34B800A1"/>
    <w:rsid w:val="34BD5094"/>
    <w:rsid w:val="34C052F5"/>
    <w:rsid w:val="34CB1468"/>
    <w:rsid w:val="34CE2DFE"/>
    <w:rsid w:val="34D523DE"/>
    <w:rsid w:val="34DE3AAD"/>
    <w:rsid w:val="34E1174C"/>
    <w:rsid w:val="34E55394"/>
    <w:rsid w:val="34F40B53"/>
    <w:rsid w:val="35073412"/>
    <w:rsid w:val="35096BB2"/>
    <w:rsid w:val="350E786A"/>
    <w:rsid w:val="350F152C"/>
    <w:rsid w:val="351B1DBB"/>
    <w:rsid w:val="351D5B33"/>
    <w:rsid w:val="352B0480"/>
    <w:rsid w:val="352C675C"/>
    <w:rsid w:val="35531DB4"/>
    <w:rsid w:val="355C48AD"/>
    <w:rsid w:val="355E2342"/>
    <w:rsid w:val="3569238A"/>
    <w:rsid w:val="35841943"/>
    <w:rsid w:val="35843E04"/>
    <w:rsid w:val="3589141A"/>
    <w:rsid w:val="358D3B5B"/>
    <w:rsid w:val="35996A70"/>
    <w:rsid w:val="359A53D6"/>
    <w:rsid w:val="359E6C74"/>
    <w:rsid w:val="35A41449"/>
    <w:rsid w:val="35A617E1"/>
    <w:rsid w:val="35B446E9"/>
    <w:rsid w:val="35B6328B"/>
    <w:rsid w:val="35B86C56"/>
    <w:rsid w:val="35BE300D"/>
    <w:rsid w:val="35CA4FB7"/>
    <w:rsid w:val="35CC4C36"/>
    <w:rsid w:val="35D32067"/>
    <w:rsid w:val="35D6394C"/>
    <w:rsid w:val="35D95EFE"/>
    <w:rsid w:val="35E52AF5"/>
    <w:rsid w:val="360B388E"/>
    <w:rsid w:val="360D204B"/>
    <w:rsid w:val="361E7DB5"/>
    <w:rsid w:val="3633523C"/>
    <w:rsid w:val="363C023B"/>
    <w:rsid w:val="36413AA3"/>
    <w:rsid w:val="36483084"/>
    <w:rsid w:val="36495D14"/>
    <w:rsid w:val="365C1B51"/>
    <w:rsid w:val="366003CD"/>
    <w:rsid w:val="36716136"/>
    <w:rsid w:val="367479D5"/>
    <w:rsid w:val="3676374D"/>
    <w:rsid w:val="36767BF1"/>
    <w:rsid w:val="3682016E"/>
    <w:rsid w:val="368F480F"/>
    <w:rsid w:val="369418EA"/>
    <w:rsid w:val="369E1A26"/>
    <w:rsid w:val="36A31E8E"/>
    <w:rsid w:val="36A32636"/>
    <w:rsid w:val="36AD34BC"/>
    <w:rsid w:val="36B0143D"/>
    <w:rsid w:val="36B349A1"/>
    <w:rsid w:val="36C4095C"/>
    <w:rsid w:val="36C97D20"/>
    <w:rsid w:val="36E27034"/>
    <w:rsid w:val="36E57B35"/>
    <w:rsid w:val="36ED3C9A"/>
    <w:rsid w:val="36FF7BE6"/>
    <w:rsid w:val="37024FE0"/>
    <w:rsid w:val="37031DE8"/>
    <w:rsid w:val="37072AAF"/>
    <w:rsid w:val="37095E57"/>
    <w:rsid w:val="370C5113"/>
    <w:rsid w:val="3710512F"/>
    <w:rsid w:val="37106900"/>
    <w:rsid w:val="37335AE2"/>
    <w:rsid w:val="37412286"/>
    <w:rsid w:val="374A1BAC"/>
    <w:rsid w:val="37523E27"/>
    <w:rsid w:val="37557ED4"/>
    <w:rsid w:val="375E34C5"/>
    <w:rsid w:val="37647A49"/>
    <w:rsid w:val="37773C20"/>
    <w:rsid w:val="377F4883"/>
    <w:rsid w:val="37863E63"/>
    <w:rsid w:val="379A16BD"/>
    <w:rsid w:val="37A10C9D"/>
    <w:rsid w:val="37B4198A"/>
    <w:rsid w:val="37C8447C"/>
    <w:rsid w:val="37CC4754"/>
    <w:rsid w:val="37D41893"/>
    <w:rsid w:val="37D56B99"/>
    <w:rsid w:val="37DA02C4"/>
    <w:rsid w:val="37DD00F7"/>
    <w:rsid w:val="37E410DA"/>
    <w:rsid w:val="37F7768B"/>
    <w:rsid w:val="380031BC"/>
    <w:rsid w:val="38017AE7"/>
    <w:rsid w:val="38033D4F"/>
    <w:rsid w:val="3809110D"/>
    <w:rsid w:val="38172D0E"/>
    <w:rsid w:val="381931DE"/>
    <w:rsid w:val="381E5BA6"/>
    <w:rsid w:val="382F0057"/>
    <w:rsid w:val="384653A1"/>
    <w:rsid w:val="38615D40"/>
    <w:rsid w:val="38725D5A"/>
    <w:rsid w:val="38763ED8"/>
    <w:rsid w:val="387C458D"/>
    <w:rsid w:val="387C4CC2"/>
    <w:rsid w:val="388163D9"/>
    <w:rsid w:val="38885C91"/>
    <w:rsid w:val="38954D78"/>
    <w:rsid w:val="389F4F8F"/>
    <w:rsid w:val="38AD18F0"/>
    <w:rsid w:val="38B247E4"/>
    <w:rsid w:val="38B8629F"/>
    <w:rsid w:val="38BA37E1"/>
    <w:rsid w:val="38C033A5"/>
    <w:rsid w:val="38C509BB"/>
    <w:rsid w:val="38C72416"/>
    <w:rsid w:val="38CC1013"/>
    <w:rsid w:val="38CE7462"/>
    <w:rsid w:val="38E13B33"/>
    <w:rsid w:val="38E9110A"/>
    <w:rsid w:val="38FA68B7"/>
    <w:rsid w:val="38FF6AC0"/>
    <w:rsid w:val="39036658"/>
    <w:rsid w:val="390D3508"/>
    <w:rsid w:val="390E4110"/>
    <w:rsid w:val="39170E65"/>
    <w:rsid w:val="39173B73"/>
    <w:rsid w:val="39184F8F"/>
    <w:rsid w:val="391D4354"/>
    <w:rsid w:val="391F631E"/>
    <w:rsid w:val="39332990"/>
    <w:rsid w:val="394A4E20"/>
    <w:rsid w:val="394B7113"/>
    <w:rsid w:val="394F0285"/>
    <w:rsid w:val="39737051"/>
    <w:rsid w:val="39783CDD"/>
    <w:rsid w:val="397877DC"/>
    <w:rsid w:val="39822884"/>
    <w:rsid w:val="39864E95"/>
    <w:rsid w:val="398C526A"/>
    <w:rsid w:val="39903E52"/>
    <w:rsid w:val="399E7085"/>
    <w:rsid w:val="39A05F3D"/>
    <w:rsid w:val="39A160C8"/>
    <w:rsid w:val="39A405D1"/>
    <w:rsid w:val="39AC56D7"/>
    <w:rsid w:val="39C371C7"/>
    <w:rsid w:val="39C669CE"/>
    <w:rsid w:val="39CC11B0"/>
    <w:rsid w:val="39DC7D6B"/>
    <w:rsid w:val="39E135D3"/>
    <w:rsid w:val="39E817C8"/>
    <w:rsid w:val="39E921A3"/>
    <w:rsid w:val="39EB4452"/>
    <w:rsid w:val="39F257E0"/>
    <w:rsid w:val="39F479AE"/>
    <w:rsid w:val="39F67E0B"/>
    <w:rsid w:val="39F83BCE"/>
    <w:rsid w:val="39F92B56"/>
    <w:rsid w:val="3A080827"/>
    <w:rsid w:val="3A085004"/>
    <w:rsid w:val="3A0A0D7C"/>
    <w:rsid w:val="3A17408C"/>
    <w:rsid w:val="3A1C285D"/>
    <w:rsid w:val="3A206327"/>
    <w:rsid w:val="3A23639D"/>
    <w:rsid w:val="3A386204"/>
    <w:rsid w:val="3A391B9C"/>
    <w:rsid w:val="3A482416"/>
    <w:rsid w:val="3A555D6F"/>
    <w:rsid w:val="3A683CF4"/>
    <w:rsid w:val="3A797A03"/>
    <w:rsid w:val="3A7B76A0"/>
    <w:rsid w:val="3A8521B0"/>
    <w:rsid w:val="3A8B353F"/>
    <w:rsid w:val="3A9643BE"/>
    <w:rsid w:val="3A9C76BB"/>
    <w:rsid w:val="3AAA60BB"/>
    <w:rsid w:val="3ACC4E8F"/>
    <w:rsid w:val="3ACE216B"/>
    <w:rsid w:val="3AD41B2E"/>
    <w:rsid w:val="3AD56554"/>
    <w:rsid w:val="3ADD011E"/>
    <w:rsid w:val="3AE600DE"/>
    <w:rsid w:val="3AE71550"/>
    <w:rsid w:val="3AF91B4F"/>
    <w:rsid w:val="3AFB06C4"/>
    <w:rsid w:val="3B01305E"/>
    <w:rsid w:val="3B0371B8"/>
    <w:rsid w:val="3B0958A3"/>
    <w:rsid w:val="3B0A1491"/>
    <w:rsid w:val="3B1770F7"/>
    <w:rsid w:val="3B273268"/>
    <w:rsid w:val="3B2A71FC"/>
    <w:rsid w:val="3B3342D9"/>
    <w:rsid w:val="3B415D8E"/>
    <w:rsid w:val="3B49301B"/>
    <w:rsid w:val="3B581EBB"/>
    <w:rsid w:val="3B581EFC"/>
    <w:rsid w:val="3B585B17"/>
    <w:rsid w:val="3B5878C5"/>
    <w:rsid w:val="3B7132FC"/>
    <w:rsid w:val="3B79205C"/>
    <w:rsid w:val="3B855857"/>
    <w:rsid w:val="3B881867"/>
    <w:rsid w:val="3B8C3A12"/>
    <w:rsid w:val="3B940870"/>
    <w:rsid w:val="3B9D0416"/>
    <w:rsid w:val="3BAD4FDB"/>
    <w:rsid w:val="3BB07701"/>
    <w:rsid w:val="3BBA232E"/>
    <w:rsid w:val="3BC27CE7"/>
    <w:rsid w:val="3BC66F24"/>
    <w:rsid w:val="3BC9752B"/>
    <w:rsid w:val="3BCC3E0F"/>
    <w:rsid w:val="3BD31EAF"/>
    <w:rsid w:val="3BDD426E"/>
    <w:rsid w:val="3BEF4EF6"/>
    <w:rsid w:val="3BFA6BCE"/>
    <w:rsid w:val="3C02490D"/>
    <w:rsid w:val="3C0E61D6"/>
    <w:rsid w:val="3C1732DC"/>
    <w:rsid w:val="3C1B371E"/>
    <w:rsid w:val="3C1D4B21"/>
    <w:rsid w:val="3C2D13A8"/>
    <w:rsid w:val="3C304715"/>
    <w:rsid w:val="3C3473CD"/>
    <w:rsid w:val="3C3A2376"/>
    <w:rsid w:val="3C3C71E7"/>
    <w:rsid w:val="3C4A424B"/>
    <w:rsid w:val="3C4E0C28"/>
    <w:rsid w:val="3C5C5193"/>
    <w:rsid w:val="3C7B3420"/>
    <w:rsid w:val="3C8F7267"/>
    <w:rsid w:val="3C970E5C"/>
    <w:rsid w:val="3C9E7A7D"/>
    <w:rsid w:val="3CA408E8"/>
    <w:rsid w:val="3CA62F9C"/>
    <w:rsid w:val="3CAD59EE"/>
    <w:rsid w:val="3CB7061B"/>
    <w:rsid w:val="3CCA68CE"/>
    <w:rsid w:val="3CCB40C7"/>
    <w:rsid w:val="3CCD59E1"/>
    <w:rsid w:val="3CDC52AF"/>
    <w:rsid w:val="3CDF4D57"/>
    <w:rsid w:val="3CE729C6"/>
    <w:rsid w:val="3CE92765"/>
    <w:rsid w:val="3CF20488"/>
    <w:rsid w:val="3CF6338A"/>
    <w:rsid w:val="3CF655E7"/>
    <w:rsid w:val="3CFB72E3"/>
    <w:rsid w:val="3D015D3A"/>
    <w:rsid w:val="3D0715A3"/>
    <w:rsid w:val="3D087398"/>
    <w:rsid w:val="3D097450"/>
    <w:rsid w:val="3D112705"/>
    <w:rsid w:val="3D144C29"/>
    <w:rsid w:val="3D172824"/>
    <w:rsid w:val="3D233F03"/>
    <w:rsid w:val="3D25588D"/>
    <w:rsid w:val="3D2D6B2F"/>
    <w:rsid w:val="3D324146"/>
    <w:rsid w:val="3D324C7A"/>
    <w:rsid w:val="3D464A45"/>
    <w:rsid w:val="3D4976B8"/>
    <w:rsid w:val="3D553F16"/>
    <w:rsid w:val="3D652E8C"/>
    <w:rsid w:val="3D65451B"/>
    <w:rsid w:val="3D6D5A16"/>
    <w:rsid w:val="3D734CA5"/>
    <w:rsid w:val="3D755AFB"/>
    <w:rsid w:val="3D775775"/>
    <w:rsid w:val="3D926AD9"/>
    <w:rsid w:val="3D94624D"/>
    <w:rsid w:val="3D9543DA"/>
    <w:rsid w:val="3D960B78"/>
    <w:rsid w:val="3D997DA1"/>
    <w:rsid w:val="3DA2751D"/>
    <w:rsid w:val="3DA41D5E"/>
    <w:rsid w:val="3DA6700D"/>
    <w:rsid w:val="3DA94E09"/>
    <w:rsid w:val="3DAA3B18"/>
    <w:rsid w:val="3DAE6CC9"/>
    <w:rsid w:val="3DB11AD4"/>
    <w:rsid w:val="3DBF40D8"/>
    <w:rsid w:val="3DC7631B"/>
    <w:rsid w:val="3DC92890"/>
    <w:rsid w:val="3DD11BB1"/>
    <w:rsid w:val="3DD7047E"/>
    <w:rsid w:val="3DE84BD8"/>
    <w:rsid w:val="3DF24001"/>
    <w:rsid w:val="3DF542DF"/>
    <w:rsid w:val="3DF5764D"/>
    <w:rsid w:val="3E102916"/>
    <w:rsid w:val="3E232B57"/>
    <w:rsid w:val="3E2B72D1"/>
    <w:rsid w:val="3E2D5D28"/>
    <w:rsid w:val="3E2F0234"/>
    <w:rsid w:val="3E324E1E"/>
    <w:rsid w:val="3E3A1504"/>
    <w:rsid w:val="3E3A67AF"/>
    <w:rsid w:val="3E3F09AD"/>
    <w:rsid w:val="3E522CF1"/>
    <w:rsid w:val="3E555578"/>
    <w:rsid w:val="3E56596F"/>
    <w:rsid w:val="3E6B31FB"/>
    <w:rsid w:val="3E6F11D0"/>
    <w:rsid w:val="3E7F160D"/>
    <w:rsid w:val="3E854E75"/>
    <w:rsid w:val="3E8559AF"/>
    <w:rsid w:val="3E8E35FE"/>
    <w:rsid w:val="3E9B7F46"/>
    <w:rsid w:val="3EA6303D"/>
    <w:rsid w:val="3EA90437"/>
    <w:rsid w:val="3EAE5A4E"/>
    <w:rsid w:val="3EB74C1F"/>
    <w:rsid w:val="3EB856C4"/>
    <w:rsid w:val="3EC30363"/>
    <w:rsid w:val="3EC86B10"/>
    <w:rsid w:val="3ED5122D"/>
    <w:rsid w:val="3ED656D0"/>
    <w:rsid w:val="3EDA69AB"/>
    <w:rsid w:val="3EDD3124"/>
    <w:rsid w:val="3EE33949"/>
    <w:rsid w:val="3EE84E4F"/>
    <w:rsid w:val="3EEB7ABA"/>
    <w:rsid w:val="3EF223DD"/>
    <w:rsid w:val="3EFD5794"/>
    <w:rsid w:val="3F0E2472"/>
    <w:rsid w:val="3F114534"/>
    <w:rsid w:val="3F132414"/>
    <w:rsid w:val="3F3260EA"/>
    <w:rsid w:val="3F446ADE"/>
    <w:rsid w:val="3F4E41F7"/>
    <w:rsid w:val="3F56197E"/>
    <w:rsid w:val="3F571ED0"/>
    <w:rsid w:val="3F584337"/>
    <w:rsid w:val="3F595AC9"/>
    <w:rsid w:val="3F6A7BC7"/>
    <w:rsid w:val="3F723865"/>
    <w:rsid w:val="3F744EE9"/>
    <w:rsid w:val="3F7A29EF"/>
    <w:rsid w:val="3F7B79D7"/>
    <w:rsid w:val="3F830C89"/>
    <w:rsid w:val="3F856F30"/>
    <w:rsid w:val="3F8B4B11"/>
    <w:rsid w:val="3FA204B4"/>
    <w:rsid w:val="3FAE0DA7"/>
    <w:rsid w:val="3FB672B0"/>
    <w:rsid w:val="3FC07546"/>
    <w:rsid w:val="3FC17393"/>
    <w:rsid w:val="3FC37EBA"/>
    <w:rsid w:val="3FD46E87"/>
    <w:rsid w:val="3FE060DB"/>
    <w:rsid w:val="3FE07C6B"/>
    <w:rsid w:val="3FE253B6"/>
    <w:rsid w:val="3FEC4A80"/>
    <w:rsid w:val="3FF71A74"/>
    <w:rsid w:val="400B3733"/>
    <w:rsid w:val="40113ED5"/>
    <w:rsid w:val="40175FA1"/>
    <w:rsid w:val="402661E4"/>
    <w:rsid w:val="402B6A5A"/>
    <w:rsid w:val="402B6F45"/>
    <w:rsid w:val="402C30CE"/>
    <w:rsid w:val="40302BBE"/>
    <w:rsid w:val="40364046"/>
    <w:rsid w:val="40430342"/>
    <w:rsid w:val="4043274F"/>
    <w:rsid w:val="404402F8"/>
    <w:rsid w:val="404548AB"/>
    <w:rsid w:val="4052296C"/>
    <w:rsid w:val="40532D51"/>
    <w:rsid w:val="40546B1B"/>
    <w:rsid w:val="40785D6C"/>
    <w:rsid w:val="40787083"/>
    <w:rsid w:val="407A208B"/>
    <w:rsid w:val="407C36F3"/>
    <w:rsid w:val="409A272E"/>
    <w:rsid w:val="409B25C7"/>
    <w:rsid w:val="40A1586A"/>
    <w:rsid w:val="40A34146"/>
    <w:rsid w:val="40A95261"/>
    <w:rsid w:val="40B25CC9"/>
    <w:rsid w:val="40DA70F9"/>
    <w:rsid w:val="410127AD"/>
    <w:rsid w:val="4101465A"/>
    <w:rsid w:val="41087697"/>
    <w:rsid w:val="41151DB4"/>
    <w:rsid w:val="411C3762"/>
    <w:rsid w:val="411C58A1"/>
    <w:rsid w:val="41230C13"/>
    <w:rsid w:val="412A3AB2"/>
    <w:rsid w:val="413254B5"/>
    <w:rsid w:val="413761CE"/>
    <w:rsid w:val="41412B2C"/>
    <w:rsid w:val="414D0843"/>
    <w:rsid w:val="414E29EF"/>
    <w:rsid w:val="414F52C6"/>
    <w:rsid w:val="41500BDA"/>
    <w:rsid w:val="41563185"/>
    <w:rsid w:val="415A46CB"/>
    <w:rsid w:val="415E7BFF"/>
    <w:rsid w:val="415F169D"/>
    <w:rsid w:val="416133B1"/>
    <w:rsid w:val="41622B34"/>
    <w:rsid w:val="416601C4"/>
    <w:rsid w:val="417263A8"/>
    <w:rsid w:val="417662AF"/>
    <w:rsid w:val="417B430D"/>
    <w:rsid w:val="41850CE8"/>
    <w:rsid w:val="4187451C"/>
    <w:rsid w:val="41886E26"/>
    <w:rsid w:val="418B7C77"/>
    <w:rsid w:val="418B7F62"/>
    <w:rsid w:val="41946D0F"/>
    <w:rsid w:val="419608B0"/>
    <w:rsid w:val="419B0F28"/>
    <w:rsid w:val="41A73354"/>
    <w:rsid w:val="41A775F4"/>
    <w:rsid w:val="41A8276B"/>
    <w:rsid w:val="41B810BD"/>
    <w:rsid w:val="41BD4926"/>
    <w:rsid w:val="41C957E0"/>
    <w:rsid w:val="41C96874"/>
    <w:rsid w:val="41CB7812"/>
    <w:rsid w:val="41D42724"/>
    <w:rsid w:val="41EA3241"/>
    <w:rsid w:val="41F30347"/>
    <w:rsid w:val="422C30CC"/>
    <w:rsid w:val="423B584A"/>
    <w:rsid w:val="424C1061"/>
    <w:rsid w:val="424E1F06"/>
    <w:rsid w:val="425F0B50"/>
    <w:rsid w:val="42653888"/>
    <w:rsid w:val="426C01ED"/>
    <w:rsid w:val="426D00FA"/>
    <w:rsid w:val="429338D8"/>
    <w:rsid w:val="42937435"/>
    <w:rsid w:val="42A15FF5"/>
    <w:rsid w:val="42A37387"/>
    <w:rsid w:val="42A91CE4"/>
    <w:rsid w:val="42A939AB"/>
    <w:rsid w:val="42C44B48"/>
    <w:rsid w:val="42C66D02"/>
    <w:rsid w:val="42CB3072"/>
    <w:rsid w:val="42CB6BCE"/>
    <w:rsid w:val="42CE60C2"/>
    <w:rsid w:val="42D6010C"/>
    <w:rsid w:val="42D674EE"/>
    <w:rsid w:val="42E1081D"/>
    <w:rsid w:val="42E27B5D"/>
    <w:rsid w:val="42F76483"/>
    <w:rsid w:val="43010842"/>
    <w:rsid w:val="430D71E7"/>
    <w:rsid w:val="430E7500"/>
    <w:rsid w:val="430F0C06"/>
    <w:rsid w:val="431B6AE3"/>
    <w:rsid w:val="431C38CE"/>
    <w:rsid w:val="431E7646"/>
    <w:rsid w:val="43234C5C"/>
    <w:rsid w:val="432D323D"/>
    <w:rsid w:val="43301127"/>
    <w:rsid w:val="4331065E"/>
    <w:rsid w:val="4335738E"/>
    <w:rsid w:val="4344696B"/>
    <w:rsid w:val="434A719A"/>
    <w:rsid w:val="4350470D"/>
    <w:rsid w:val="43652803"/>
    <w:rsid w:val="436D6E8A"/>
    <w:rsid w:val="43704A88"/>
    <w:rsid w:val="43861EFC"/>
    <w:rsid w:val="439145AC"/>
    <w:rsid w:val="439949FB"/>
    <w:rsid w:val="439A71F2"/>
    <w:rsid w:val="439F033D"/>
    <w:rsid w:val="43A63197"/>
    <w:rsid w:val="43A7212B"/>
    <w:rsid w:val="43AB36F6"/>
    <w:rsid w:val="43B1163C"/>
    <w:rsid w:val="43C006FD"/>
    <w:rsid w:val="43C755E8"/>
    <w:rsid w:val="43D159B3"/>
    <w:rsid w:val="43D701A4"/>
    <w:rsid w:val="43D74D58"/>
    <w:rsid w:val="43DF3025"/>
    <w:rsid w:val="43E2246E"/>
    <w:rsid w:val="43E63274"/>
    <w:rsid w:val="43F108B7"/>
    <w:rsid w:val="44056110"/>
    <w:rsid w:val="44104E6C"/>
    <w:rsid w:val="441F782C"/>
    <w:rsid w:val="44316F05"/>
    <w:rsid w:val="44366AFE"/>
    <w:rsid w:val="443B5A53"/>
    <w:rsid w:val="44444E8A"/>
    <w:rsid w:val="444A7FC7"/>
    <w:rsid w:val="444C1E51"/>
    <w:rsid w:val="444E0E25"/>
    <w:rsid w:val="44530E4E"/>
    <w:rsid w:val="446073E8"/>
    <w:rsid w:val="44640C0F"/>
    <w:rsid w:val="44682DFA"/>
    <w:rsid w:val="4474494D"/>
    <w:rsid w:val="447A3FF6"/>
    <w:rsid w:val="448A3A9F"/>
    <w:rsid w:val="44A00821"/>
    <w:rsid w:val="44BC2C73"/>
    <w:rsid w:val="44C7478A"/>
    <w:rsid w:val="44D95ECC"/>
    <w:rsid w:val="44DD758A"/>
    <w:rsid w:val="44F2351D"/>
    <w:rsid w:val="45022447"/>
    <w:rsid w:val="45107462"/>
    <w:rsid w:val="451340A4"/>
    <w:rsid w:val="452151CC"/>
    <w:rsid w:val="45265350"/>
    <w:rsid w:val="4537679D"/>
    <w:rsid w:val="453E7B2C"/>
    <w:rsid w:val="453F0F59"/>
    <w:rsid w:val="45442C68"/>
    <w:rsid w:val="454C27E0"/>
    <w:rsid w:val="454D7C68"/>
    <w:rsid w:val="455708FD"/>
    <w:rsid w:val="45594965"/>
    <w:rsid w:val="455E01CE"/>
    <w:rsid w:val="45804BD7"/>
    <w:rsid w:val="45833790"/>
    <w:rsid w:val="45845427"/>
    <w:rsid w:val="45877724"/>
    <w:rsid w:val="458D460F"/>
    <w:rsid w:val="45944370"/>
    <w:rsid w:val="45BE1328"/>
    <w:rsid w:val="45CE5ED0"/>
    <w:rsid w:val="45DB537A"/>
    <w:rsid w:val="45DE03A3"/>
    <w:rsid w:val="45E46057"/>
    <w:rsid w:val="45E701C3"/>
    <w:rsid w:val="45EA5CE4"/>
    <w:rsid w:val="45F5695C"/>
    <w:rsid w:val="45F67A0B"/>
    <w:rsid w:val="45FD3498"/>
    <w:rsid w:val="45FF1A6E"/>
    <w:rsid w:val="460023D4"/>
    <w:rsid w:val="46057D17"/>
    <w:rsid w:val="460F2655"/>
    <w:rsid w:val="46152865"/>
    <w:rsid w:val="46200850"/>
    <w:rsid w:val="462036D5"/>
    <w:rsid w:val="46236D21"/>
    <w:rsid w:val="46243548"/>
    <w:rsid w:val="46276812"/>
    <w:rsid w:val="462E7414"/>
    <w:rsid w:val="46343864"/>
    <w:rsid w:val="46362EF9"/>
    <w:rsid w:val="46364CA7"/>
    <w:rsid w:val="464112F5"/>
    <w:rsid w:val="464253F9"/>
    <w:rsid w:val="464E3D9E"/>
    <w:rsid w:val="46517D32"/>
    <w:rsid w:val="46560EA5"/>
    <w:rsid w:val="466615BD"/>
    <w:rsid w:val="46681EB0"/>
    <w:rsid w:val="467E15C7"/>
    <w:rsid w:val="46804174"/>
    <w:rsid w:val="46844D03"/>
    <w:rsid w:val="468476BB"/>
    <w:rsid w:val="469464ED"/>
    <w:rsid w:val="469561C2"/>
    <w:rsid w:val="46A11A8B"/>
    <w:rsid w:val="46A82D0C"/>
    <w:rsid w:val="46AB7443"/>
    <w:rsid w:val="46C67DD9"/>
    <w:rsid w:val="46CB53EF"/>
    <w:rsid w:val="46D131D2"/>
    <w:rsid w:val="46D21248"/>
    <w:rsid w:val="46D30747"/>
    <w:rsid w:val="46D32666"/>
    <w:rsid w:val="46D36999"/>
    <w:rsid w:val="46DB2AB9"/>
    <w:rsid w:val="46E75BCD"/>
    <w:rsid w:val="46E82806"/>
    <w:rsid w:val="46FD4FCD"/>
    <w:rsid w:val="46FE3E49"/>
    <w:rsid w:val="47121270"/>
    <w:rsid w:val="47121729"/>
    <w:rsid w:val="47151946"/>
    <w:rsid w:val="47155BC0"/>
    <w:rsid w:val="471E3DBD"/>
    <w:rsid w:val="471F573B"/>
    <w:rsid w:val="4743767B"/>
    <w:rsid w:val="474433F3"/>
    <w:rsid w:val="47457893"/>
    <w:rsid w:val="476D64A6"/>
    <w:rsid w:val="476D6C94"/>
    <w:rsid w:val="47772A9D"/>
    <w:rsid w:val="478832E0"/>
    <w:rsid w:val="478F0737"/>
    <w:rsid w:val="47941748"/>
    <w:rsid w:val="47972F95"/>
    <w:rsid w:val="479954ED"/>
    <w:rsid w:val="479F48B0"/>
    <w:rsid w:val="47A0687C"/>
    <w:rsid w:val="47A143A2"/>
    <w:rsid w:val="47A83982"/>
    <w:rsid w:val="47AA526C"/>
    <w:rsid w:val="47AD6582"/>
    <w:rsid w:val="47B6609F"/>
    <w:rsid w:val="47B746EE"/>
    <w:rsid w:val="47D06A35"/>
    <w:rsid w:val="47D26C51"/>
    <w:rsid w:val="47E32FD8"/>
    <w:rsid w:val="47F12597"/>
    <w:rsid w:val="47FB61A8"/>
    <w:rsid w:val="48062570"/>
    <w:rsid w:val="480A63EB"/>
    <w:rsid w:val="480D3502"/>
    <w:rsid w:val="48111481"/>
    <w:rsid w:val="481B6E64"/>
    <w:rsid w:val="48272AF9"/>
    <w:rsid w:val="482E20D9"/>
    <w:rsid w:val="482F7BFF"/>
    <w:rsid w:val="48314E9D"/>
    <w:rsid w:val="483E667E"/>
    <w:rsid w:val="48483E3E"/>
    <w:rsid w:val="48533CAC"/>
    <w:rsid w:val="4856518C"/>
    <w:rsid w:val="485D77E8"/>
    <w:rsid w:val="486E0728"/>
    <w:rsid w:val="487330B4"/>
    <w:rsid w:val="48735B4A"/>
    <w:rsid w:val="487563C0"/>
    <w:rsid w:val="488066AD"/>
    <w:rsid w:val="488241D3"/>
    <w:rsid w:val="48863762"/>
    <w:rsid w:val="48911BC5"/>
    <w:rsid w:val="489B61FD"/>
    <w:rsid w:val="48B4631F"/>
    <w:rsid w:val="48BE2862"/>
    <w:rsid w:val="48BF5427"/>
    <w:rsid w:val="48C742DC"/>
    <w:rsid w:val="48CE0E6E"/>
    <w:rsid w:val="48D83904"/>
    <w:rsid w:val="48E32606"/>
    <w:rsid w:val="48EB1D78"/>
    <w:rsid w:val="48ED4A0A"/>
    <w:rsid w:val="48FC3F85"/>
    <w:rsid w:val="490C7F41"/>
    <w:rsid w:val="491A3E06"/>
    <w:rsid w:val="49273A37"/>
    <w:rsid w:val="4938631F"/>
    <w:rsid w:val="49467FBF"/>
    <w:rsid w:val="49577CC9"/>
    <w:rsid w:val="495D254A"/>
    <w:rsid w:val="495F62C2"/>
    <w:rsid w:val="496C3180"/>
    <w:rsid w:val="49777AB0"/>
    <w:rsid w:val="49787384"/>
    <w:rsid w:val="498308A8"/>
    <w:rsid w:val="498F6BB4"/>
    <w:rsid w:val="499441BE"/>
    <w:rsid w:val="49A26436"/>
    <w:rsid w:val="49A62143"/>
    <w:rsid w:val="49AA59E4"/>
    <w:rsid w:val="49B967CC"/>
    <w:rsid w:val="49BD4C5A"/>
    <w:rsid w:val="49C34AA3"/>
    <w:rsid w:val="49D971F1"/>
    <w:rsid w:val="49F5673C"/>
    <w:rsid w:val="49F65A04"/>
    <w:rsid w:val="4A062BE2"/>
    <w:rsid w:val="4A0E2580"/>
    <w:rsid w:val="4A1470AD"/>
    <w:rsid w:val="4A1F173C"/>
    <w:rsid w:val="4A244204"/>
    <w:rsid w:val="4A2E7F9A"/>
    <w:rsid w:val="4A3D2127"/>
    <w:rsid w:val="4A407EA2"/>
    <w:rsid w:val="4A5050B1"/>
    <w:rsid w:val="4A507CF0"/>
    <w:rsid w:val="4A637503"/>
    <w:rsid w:val="4A681838"/>
    <w:rsid w:val="4A69564B"/>
    <w:rsid w:val="4A6D1042"/>
    <w:rsid w:val="4A806A87"/>
    <w:rsid w:val="4A8128C1"/>
    <w:rsid w:val="4A826ED8"/>
    <w:rsid w:val="4A87668F"/>
    <w:rsid w:val="4A8C1339"/>
    <w:rsid w:val="4A8C758B"/>
    <w:rsid w:val="4A987CDE"/>
    <w:rsid w:val="4A9A1CA8"/>
    <w:rsid w:val="4AAC5873"/>
    <w:rsid w:val="4AB10DA0"/>
    <w:rsid w:val="4AB6519C"/>
    <w:rsid w:val="4ABB39CC"/>
    <w:rsid w:val="4ABB577A"/>
    <w:rsid w:val="4AC0141B"/>
    <w:rsid w:val="4AC05487"/>
    <w:rsid w:val="4AC42881"/>
    <w:rsid w:val="4ACD4601"/>
    <w:rsid w:val="4AD056CA"/>
    <w:rsid w:val="4AD774CA"/>
    <w:rsid w:val="4ADB5FBF"/>
    <w:rsid w:val="4ADC6063"/>
    <w:rsid w:val="4ADF5E03"/>
    <w:rsid w:val="4AE02412"/>
    <w:rsid w:val="4AE546FB"/>
    <w:rsid w:val="4AE647A4"/>
    <w:rsid w:val="4AEB2504"/>
    <w:rsid w:val="4AF070EB"/>
    <w:rsid w:val="4AF1302D"/>
    <w:rsid w:val="4AF15640"/>
    <w:rsid w:val="4AF63482"/>
    <w:rsid w:val="4AF9679F"/>
    <w:rsid w:val="4AFA288A"/>
    <w:rsid w:val="4AFD2237"/>
    <w:rsid w:val="4B0178F1"/>
    <w:rsid w:val="4B045373"/>
    <w:rsid w:val="4B12495B"/>
    <w:rsid w:val="4B197E41"/>
    <w:rsid w:val="4B1E6312"/>
    <w:rsid w:val="4B220A9C"/>
    <w:rsid w:val="4B2215A9"/>
    <w:rsid w:val="4B386352"/>
    <w:rsid w:val="4B420F2F"/>
    <w:rsid w:val="4B58746D"/>
    <w:rsid w:val="4B592B8C"/>
    <w:rsid w:val="4B5F07FC"/>
    <w:rsid w:val="4B5F25AA"/>
    <w:rsid w:val="4B663938"/>
    <w:rsid w:val="4B696F0E"/>
    <w:rsid w:val="4B6B53F2"/>
    <w:rsid w:val="4B702B1D"/>
    <w:rsid w:val="4B7D6ED4"/>
    <w:rsid w:val="4B8F0971"/>
    <w:rsid w:val="4B960E81"/>
    <w:rsid w:val="4B9E7576"/>
    <w:rsid w:val="4BAE109A"/>
    <w:rsid w:val="4BB40B47"/>
    <w:rsid w:val="4BC256D8"/>
    <w:rsid w:val="4BC713A0"/>
    <w:rsid w:val="4BD27220"/>
    <w:rsid w:val="4BE924EE"/>
    <w:rsid w:val="4BED4199"/>
    <w:rsid w:val="4BF04670"/>
    <w:rsid w:val="4BF74ED8"/>
    <w:rsid w:val="4BF8408A"/>
    <w:rsid w:val="4BF929FE"/>
    <w:rsid w:val="4C0118B3"/>
    <w:rsid w:val="4C046DDD"/>
    <w:rsid w:val="4C086F41"/>
    <w:rsid w:val="4C147838"/>
    <w:rsid w:val="4C1B70F5"/>
    <w:rsid w:val="4C2537F3"/>
    <w:rsid w:val="4C2704FD"/>
    <w:rsid w:val="4C282DDF"/>
    <w:rsid w:val="4C2E23CA"/>
    <w:rsid w:val="4C465518"/>
    <w:rsid w:val="4C5108CE"/>
    <w:rsid w:val="4C510B66"/>
    <w:rsid w:val="4C534727"/>
    <w:rsid w:val="4C541D4F"/>
    <w:rsid w:val="4C5D0A58"/>
    <w:rsid w:val="4C5F3343"/>
    <w:rsid w:val="4C610805"/>
    <w:rsid w:val="4C635F5D"/>
    <w:rsid w:val="4C667968"/>
    <w:rsid w:val="4C6C31D0"/>
    <w:rsid w:val="4C716A38"/>
    <w:rsid w:val="4C717953"/>
    <w:rsid w:val="4C7B4CF4"/>
    <w:rsid w:val="4C8B126A"/>
    <w:rsid w:val="4C90296C"/>
    <w:rsid w:val="4CA02E7A"/>
    <w:rsid w:val="4CB822AD"/>
    <w:rsid w:val="4CBE5F20"/>
    <w:rsid w:val="4CED4778"/>
    <w:rsid w:val="4CEE28C0"/>
    <w:rsid w:val="4CF464D2"/>
    <w:rsid w:val="4D0C435E"/>
    <w:rsid w:val="4D1C60CB"/>
    <w:rsid w:val="4D226926"/>
    <w:rsid w:val="4D2717ED"/>
    <w:rsid w:val="4D27395B"/>
    <w:rsid w:val="4D4952BF"/>
    <w:rsid w:val="4D497AC9"/>
    <w:rsid w:val="4D4E30FF"/>
    <w:rsid w:val="4D5517D1"/>
    <w:rsid w:val="4D593533"/>
    <w:rsid w:val="4D67124A"/>
    <w:rsid w:val="4D7563E7"/>
    <w:rsid w:val="4D866514"/>
    <w:rsid w:val="4D872C67"/>
    <w:rsid w:val="4D8A2CEA"/>
    <w:rsid w:val="4D8E196E"/>
    <w:rsid w:val="4D9052D6"/>
    <w:rsid w:val="4D982F81"/>
    <w:rsid w:val="4D9C7AE5"/>
    <w:rsid w:val="4D9E3772"/>
    <w:rsid w:val="4DA8120B"/>
    <w:rsid w:val="4DA87056"/>
    <w:rsid w:val="4DAA7A1D"/>
    <w:rsid w:val="4DAD5841"/>
    <w:rsid w:val="4DB049C0"/>
    <w:rsid w:val="4DBE3A76"/>
    <w:rsid w:val="4DC0329C"/>
    <w:rsid w:val="4DC415CD"/>
    <w:rsid w:val="4DC47446"/>
    <w:rsid w:val="4DCC26BE"/>
    <w:rsid w:val="4DCE07DE"/>
    <w:rsid w:val="4DD4323D"/>
    <w:rsid w:val="4DD52C09"/>
    <w:rsid w:val="4DD90E7D"/>
    <w:rsid w:val="4DE90B8C"/>
    <w:rsid w:val="4DEB411C"/>
    <w:rsid w:val="4DF07E31"/>
    <w:rsid w:val="4DFE254E"/>
    <w:rsid w:val="4E0C1A49"/>
    <w:rsid w:val="4E147896"/>
    <w:rsid w:val="4E1D19C8"/>
    <w:rsid w:val="4E202C8B"/>
    <w:rsid w:val="4E242F81"/>
    <w:rsid w:val="4E316B2A"/>
    <w:rsid w:val="4E453CD9"/>
    <w:rsid w:val="4E465CA3"/>
    <w:rsid w:val="4E4D02EB"/>
    <w:rsid w:val="4E571C5E"/>
    <w:rsid w:val="4E5F0613"/>
    <w:rsid w:val="4E6366B7"/>
    <w:rsid w:val="4E6C395B"/>
    <w:rsid w:val="4E6F4CB3"/>
    <w:rsid w:val="4E911809"/>
    <w:rsid w:val="4E927FEA"/>
    <w:rsid w:val="4E970296"/>
    <w:rsid w:val="4E9E788D"/>
    <w:rsid w:val="4EA6766E"/>
    <w:rsid w:val="4EA87FBA"/>
    <w:rsid w:val="4EAC01FC"/>
    <w:rsid w:val="4EB175C0"/>
    <w:rsid w:val="4EB62B7E"/>
    <w:rsid w:val="4EBD5BA7"/>
    <w:rsid w:val="4EC54E1A"/>
    <w:rsid w:val="4ED76FB3"/>
    <w:rsid w:val="4EEA4880"/>
    <w:rsid w:val="4EEB4BD4"/>
    <w:rsid w:val="4EEE4EFF"/>
    <w:rsid w:val="4F024EBB"/>
    <w:rsid w:val="4F1354CD"/>
    <w:rsid w:val="4F1C32C8"/>
    <w:rsid w:val="4F250E5A"/>
    <w:rsid w:val="4F2C1E67"/>
    <w:rsid w:val="4F3D2C02"/>
    <w:rsid w:val="4F3F7F1F"/>
    <w:rsid w:val="4F400944"/>
    <w:rsid w:val="4F5307A3"/>
    <w:rsid w:val="4F55619D"/>
    <w:rsid w:val="4F5D66CB"/>
    <w:rsid w:val="4F6F107B"/>
    <w:rsid w:val="4F7730F2"/>
    <w:rsid w:val="4F7A5C04"/>
    <w:rsid w:val="4F7D6866"/>
    <w:rsid w:val="4F807119"/>
    <w:rsid w:val="4F827A7E"/>
    <w:rsid w:val="4F876573"/>
    <w:rsid w:val="4F8E3B52"/>
    <w:rsid w:val="4F9A70E8"/>
    <w:rsid w:val="4F9C3DCC"/>
    <w:rsid w:val="4F9E3893"/>
    <w:rsid w:val="4FAC29D1"/>
    <w:rsid w:val="4FB42A8A"/>
    <w:rsid w:val="4FBF3156"/>
    <w:rsid w:val="4FC240E9"/>
    <w:rsid w:val="4FCB70BC"/>
    <w:rsid w:val="4FDD6129"/>
    <w:rsid w:val="4FF76DEE"/>
    <w:rsid w:val="4FF9121F"/>
    <w:rsid w:val="4FFD5A8E"/>
    <w:rsid w:val="4FFE51CA"/>
    <w:rsid w:val="50047A39"/>
    <w:rsid w:val="50064CFA"/>
    <w:rsid w:val="50076A64"/>
    <w:rsid w:val="5008587D"/>
    <w:rsid w:val="500876B4"/>
    <w:rsid w:val="500E2FBC"/>
    <w:rsid w:val="50134866"/>
    <w:rsid w:val="501657E4"/>
    <w:rsid w:val="501E3DCC"/>
    <w:rsid w:val="501F67AB"/>
    <w:rsid w:val="502516C6"/>
    <w:rsid w:val="502E69EF"/>
    <w:rsid w:val="50372EDE"/>
    <w:rsid w:val="503F3B62"/>
    <w:rsid w:val="504173A2"/>
    <w:rsid w:val="504C2E74"/>
    <w:rsid w:val="505C7A00"/>
    <w:rsid w:val="50635B0A"/>
    <w:rsid w:val="5066262C"/>
    <w:rsid w:val="50671D08"/>
    <w:rsid w:val="5077000A"/>
    <w:rsid w:val="508868FE"/>
    <w:rsid w:val="50897C11"/>
    <w:rsid w:val="509176A9"/>
    <w:rsid w:val="50A5479F"/>
    <w:rsid w:val="50A561D2"/>
    <w:rsid w:val="50AF2886"/>
    <w:rsid w:val="50B34770"/>
    <w:rsid w:val="50C51101"/>
    <w:rsid w:val="50CB140B"/>
    <w:rsid w:val="50CF01D2"/>
    <w:rsid w:val="50D21A70"/>
    <w:rsid w:val="50E05C06"/>
    <w:rsid w:val="50ED2406"/>
    <w:rsid w:val="50F10148"/>
    <w:rsid w:val="50F11EF6"/>
    <w:rsid w:val="50F5180F"/>
    <w:rsid w:val="50F924FA"/>
    <w:rsid w:val="50FE1E7F"/>
    <w:rsid w:val="50FE4613"/>
    <w:rsid w:val="50FE4784"/>
    <w:rsid w:val="511B7795"/>
    <w:rsid w:val="511D0F3D"/>
    <w:rsid w:val="511D2214"/>
    <w:rsid w:val="511F5A88"/>
    <w:rsid w:val="51253E54"/>
    <w:rsid w:val="51293AFF"/>
    <w:rsid w:val="512C73D2"/>
    <w:rsid w:val="512E4EF8"/>
    <w:rsid w:val="51351A52"/>
    <w:rsid w:val="5139564B"/>
    <w:rsid w:val="51425DF3"/>
    <w:rsid w:val="51492246"/>
    <w:rsid w:val="51495BC2"/>
    <w:rsid w:val="514F30C0"/>
    <w:rsid w:val="51530621"/>
    <w:rsid w:val="515C46D5"/>
    <w:rsid w:val="51642E66"/>
    <w:rsid w:val="51667FAB"/>
    <w:rsid w:val="517569BE"/>
    <w:rsid w:val="51764434"/>
    <w:rsid w:val="51942356"/>
    <w:rsid w:val="519A07DF"/>
    <w:rsid w:val="51A4296C"/>
    <w:rsid w:val="51A72EFC"/>
    <w:rsid w:val="51A749DF"/>
    <w:rsid w:val="51A977A6"/>
    <w:rsid w:val="51AB6549"/>
    <w:rsid w:val="51AE434F"/>
    <w:rsid w:val="51B573C7"/>
    <w:rsid w:val="51BA49DE"/>
    <w:rsid w:val="51C11F19"/>
    <w:rsid w:val="51C340D6"/>
    <w:rsid w:val="51CF715B"/>
    <w:rsid w:val="51DE3C54"/>
    <w:rsid w:val="51F779E0"/>
    <w:rsid w:val="520804E4"/>
    <w:rsid w:val="52117E9B"/>
    <w:rsid w:val="52171E30"/>
    <w:rsid w:val="521A6E19"/>
    <w:rsid w:val="521A722A"/>
    <w:rsid w:val="5223678D"/>
    <w:rsid w:val="52416EAD"/>
    <w:rsid w:val="52473A74"/>
    <w:rsid w:val="52495D62"/>
    <w:rsid w:val="524E7105"/>
    <w:rsid w:val="52536864"/>
    <w:rsid w:val="52661E03"/>
    <w:rsid w:val="526A6404"/>
    <w:rsid w:val="526C62C1"/>
    <w:rsid w:val="526F5FC5"/>
    <w:rsid w:val="527F240F"/>
    <w:rsid w:val="52806182"/>
    <w:rsid w:val="52891757"/>
    <w:rsid w:val="528C3026"/>
    <w:rsid w:val="52903990"/>
    <w:rsid w:val="529E4FE8"/>
    <w:rsid w:val="52A33012"/>
    <w:rsid w:val="52B15DE1"/>
    <w:rsid w:val="52B53499"/>
    <w:rsid w:val="52BA27BB"/>
    <w:rsid w:val="52BE589D"/>
    <w:rsid w:val="52C03C5E"/>
    <w:rsid w:val="52C10242"/>
    <w:rsid w:val="52CB6294"/>
    <w:rsid w:val="52CD6ED9"/>
    <w:rsid w:val="52DA1B54"/>
    <w:rsid w:val="52DD7075"/>
    <w:rsid w:val="52F061DD"/>
    <w:rsid w:val="52F12681"/>
    <w:rsid w:val="52F21F55"/>
    <w:rsid w:val="53023398"/>
    <w:rsid w:val="5305612D"/>
    <w:rsid w:val="530A71DD"/>
    <w:rsid w:val="53110610"/>
    <w:rsid w:val="5311494E"/>
    <w:rsid w:val="53114AD1"/>
    <w:rsid w:val="53202F66"/>
    <w:rsid w:val="53265744"/>
    <w:rsid w:val="53297A31"/>
    <w:rsid w:val="532B755E"/>
    <w:rsid w:val="532E1E14"/>
    <w:rsid w:val="53316F22"/>
    <w:rsid w:val="533E33EC"/>
    <w:rsid w:val="53414FF0"/>
    <w:rsid w:val="534E7AD3"/>
    <w:rsid w:val="53597333"/>
    <w:rsid w:val="535B5D4C"/>
    <w:rsid w:val="536270DB"/>
    <w:rsid w:val="53654E1D"/>
    <w:rsid w:val="53766386"/>
    <w:rsid w:val="53783E75"/>
    <w:rsid w:val="538B5CFF"/>
    <w:rsid w:val="538C05FC"/>
    <w:rsid w:val="538C5F06"/>
    <w:rsid w:val="53A21BCD"/>
    <w:rsid w:val="53A771E4"/>
    <w:rsid w:val="53AE2320"/>
    <w:rsid w:val="53C5766A"/>
    <w:rsid w:val="53C6147C"/>
    <w:rsid w:val="53C9715A"/>
    <w:rsid w:val="53DB19B2"/>
    <w:rsid w:val="53DB6E8D"/>
    <w:rsid w:val="53DE223A"/>
    <w:rsid w:val="53E37A74"/>
    <w:rsid w:val="53EC0EEA"/>
    <w:rsid w:val="53EC14F6"/>
    <w:rsid w:val="53F15468"/>
    <w:rsid w:val="54040192"/>
    <w:rsid w:val="540A3C5A"/>
    <w:rsid w:val="5427506E"/>
    <w:rsid w:val="542D76E9"/>
    <w:rsid w:val="5438608E"/>
    <w:rsid w:val="543A3BB4"/>
    <w:rsid w:val="544113E6"/>
    <w:rsid w:val="54436D76"/>
    <w:rsid w:val="54436F0C"/>
    <w:rsid w:val="54566434"/>
    <w:rsid w:val="54625A21"/>
    <w:rsid w:val="54646E83"/>
    <w:rsid w:val="5467370D"/>
    <w:rsid w:val="546F36EA"/>
    <w:rsid w:val="54705621"/>
    <w:rsid w:val="54717303"/>
    <w:rsid w:val="54724627"/>
    <w:rsid w:val="54776BB6"/>
    <w:rsid w:val="5479292E"/>
    <w:rsid w:val="548B440F"/>
    <w:rsid w:val="54927DBA"/>
    <w:rsid w:val="549B2650"/>
    <w:rsid w:val="54AD2B26"/>
    <w:rsid w:val="54BE47E5"/>
    <w:rsid w:val="54C53DC5"/>
    <w:rsid w:val="54CA1F97"/>
    <w:rsid w:val="54CB09FE"/>
    <w:rsid w:val="54D04906"/>
    <w:rsid w:val="54D550FA"/>
    <w:rsid w:val="54ED44E0"/>
    <w:rsid w:val="54F7661A"/>
    <w:rsid w:val="54FE4BE1"/>
    <w:rsid w:val="55020190"/>
    <w:rsid w:val="55043710"/>
    <w:rsid w:val="55140BDA"/>
    <w:rsid w:val="55140C8F"/>
    <w:rsid w:val="551C28AE"/>
    <w:rsid w:val="551E7032"/>
    <w:rsid w:val="55254864"/>
    <w:rsid w:val="552B0967"/>
    <w:rsid w:val="55403453"/>
    <w:rsid w:val="554339F6"/>
    <w:rsid w:val="55434CEA"/>
    <w:rsid w:val="554D16A2"/>
    <w:rsid w:val="55524F2D"/>
    <w:rsid w:val="55524F88"/>
    <w:rsid w:val="556222AA"/>
    <w:rsid w:val="556F4463"/>
    <w:rsid w:val="556F537E"/>
    <w:rsid w:val="55713605"/>
    <w:rsid w:val="557A27F0"/>
    <w:rsid w:val="55823A64"/>
    <w:rsid w:val="55825812"/>
    <w:rsid w:val="55853555"/>
    <w:rsid w:val="558A46C7"/>
    <w:rsid w:val="558F1CDD"/>
    <w:rsid w:val="55A21A11"/>
    <w:rsid w:val="55A41C2D"/>
    <w:rsid w:val="55AC288F"/>
    <w:rsid w:val="55B43EE5"/>
    <w:rsid w:val="55BA6B14"/>
    <w:rsid w:val="55BD361C"/>
    <w:rsid w:val="55BF6483"/>
    <w:rsid w:val="55C93441"/>
    <w:rsid w:val="55D87B28"/>
    <w:rsid w:val="55EB11BE"/>
    <w:rsid w:val="55F34962"/>
    <w:rsid w:val="55FA620E"/>
    <w:rsid w:val="560C77D2"/>
    <w:rsid w:val="56117C9D"/>
    <w:rsid w:val="5613099F"/>
    <w:rsid w:val="56336B0D"/>
    <w:rsid w:val="563472F6"/>
    <w:rsid w:val="563E1BAC"/>
    <w:rsid w:val="56463E7C"/>
    <w:rsid w:val="56466840"/>
    <w:rsid w:val="564E1B99"/>
    <w:rsid w:val="565D002E"/>
    <w:rsid w:val="56680EAC"/>
    <w:rsid w:val="566C7EAB"/>
    <w:rsid w:val="56905D0D"/>
    <w:rsid w:val="569A4DDE"/>
    <w:rsid w:val="56A11369"/>
    <w:rsid w:val="56A50295"/>
    <w:rsid w:val="56A93273"/>
    <w:rsid w:val="56A95021"/>
    <w:rsid w:val="56AD2D63"/>
    <w:rsid w:val="56B50904"/>
    <w:rsid w:val="56B74B44"/>
    <w:rsid w:val="56B75990"/>
    <w:rsid w:val="56BC6B02"/>
    <w:rsid w:val="56BE2AB9"/>
    <w:rsid w:val="56C1328A"/>
    <w:rsid w:val="56C14AD0"/>
    <w:rsid w:val="56DE7458"/>
    <w:rsid w:val="56F46BF9"/>
    <w:rsid w:val="57064221"/>
    <w:rsid w:val="57236B81"/>
    <w:rsid w:val="5727654A"/>
    <w:rsid w:val="57284198"/>
    <w:rsid w:val="572D540A"/>
    <w:rsid w:val="57482A8C"/>
    <w:rsid w:val="5748647C"/>
    <w:rsid w:val="574D4567"/>
    <w:rsid w:val="575B06A3"/>
    <w:rsid w:val="575D2E09"/>
    <w:rsid w:val="577930E7"/>
    <w:rsid w:val="577E64AD"/>
    <w:rsid w:val="579051E9"/>
    <w:rsid w:val="579655ED"/>
    <w:rsid w:val="579E445A"/>
    <w:rsid w:val="57A50670"/>
    <w:rsid w:val="57A557E8"/>
    <w:rsid w:val="57B63E99"/>
    <w:rsid w:val="57B95737"/>
    <w:rsid w:val="57BB14B0"/>
    <w:rsid w:val="57CD5674"/>
    <w:rsid w:val="57D61017"/>
    <w:rsid w:val="57DE1ECD"/>
    <w:rsid w:val="57F16C7F"/>
    <w:rsid w:val="58020E8D"/>
    <w:rsid w:val="58060874"/>
    <w:rsid w:val="5811229E"/>
    <w:rsid w:val="581806B0"/>
    <w:rsid w:val="582D2CC7"/>
    <w:rsid w:val="582E55A8"/>
    <w:rsid w:val="582F1556"/>
    <w:rsid w:val="5838665C"/>
    <w:rsid w:val="583A0626"/>
    <w:rsid w:val="58445730"/>
    <w:rsid w:val="58452F58"/>
    <w:rsid w:val="584F1C4F"/>
    <w:rsid w:val="58606101"/>
    <w:rsid w:val="586631C9"/>
    <w:rsid w:val="5867507D"/>
    <w:rsid w:val="58675193"/>
    <w:rsid w:val="58691188"/>
    <w:rsid w:val="586F6E09"/>
    <w:rsid w:val="587A7F13"/>
    <w:rsid w:val="587F6039"/>
    <w:rsid w:val="588055A9"/>
    <w:rsid w:val="58813C17"/>
    <w:rsid w:val="58845D45"/>
    <w:rsid w:val="589046D5"/>
    <w:rsid w:val="58921AD3"/>
    <w:rsid w:val="58AB7C8B"/>
    <w:rsid w:val="58AC2BA6"/>
    <w:rsid w:val="58AF1E4A"/>
    <w:rsid w:val="58B4182C"/>
    <w:rsid w:val="58B959EF"/>
    <w:rsid w:val="58BB006B"/>
    <w:rsid w:val="58C01115"/>
    <w:rsid w:val="58D0045E"/>
    <w:rsid w:val="58EB1921"/>
    <w:rsid w:val="5903310E"/>
    <w:rsid w:val="591B0458"/>
    <w:rsid w:val="59243C3A"/>
    <w:rsid w:val="592A2984"/>
    <w:rsid w:val="593E3B0B"/>
    <w:rsid w:val="594D4389"/>
    <w:rsid w:val="596F42D5"/>
    <w:rsid w:val="59861649"/>
    <w:rsid w:val="598B3EFC"/>
    <w:rsid w:val="59955AE1"/>
    <w:rsid w:val="59A0270B"/>
    <w:rsid w:val="59A044B9"/>
    <w:rsid w:val="59A80EAF"/>
    <w:rsid w:val="59AB57AF"/>
    <w:rsid w:val="59BE7035"/>
    <w:rsid w:val="59C87C46"/>
    <w:rsid w:val="59E51489"/>
    <w:rsid w:val="59ED3476"/>
    <w:rsid w:val="59F33C36"/>
    <w:rsid w:val="59F731D9"/>
    <w:rsid w:val="59F75423"/>
    <w:rsid w:val="5A0C1B4F"/>
    <w:rsid w:val="5A0F163F"/>
    <w:rsid w:val="5A107E23"/>
    <w:rsid w:val="5A19426B"/>
    <w:rsid w:val="5A1F56FD"/>
    <w:rsid w:val="5A6264BC"/>
    <w:rsid w:val="5A6E0A5B"/>
    <w:rsid w:val="5A706581"/>
    <w:rsid w:val="5A715E56"/>
    <w:rsid w:val="5A7435B1"/>
    <w:rsid w:val="5A81078E"/>
    <w:rsid w:val="5A863968"/>
    <w:rsid w:val="5A8C5677"/>
    <w:rsid w:val="5A93401E"/>
    <w:rsid w:val="5A9700E5"/>
    <w:rsid w:val="5A9821C8"/>
    <w:rsid w:val="5AAB75B9"/>
    <w:rsid w:val="5AAC50E0"/>
    <w:rsid w:val="5AB0697E"/>
    <w:rsid w:val="5AB53F94"/>
    <w:rsid w:val="5ABE1418"/>
    <w:rsid w:val="5ABF4E13"/>
    <w:rsid w:val="5AC303A0"/>
    <w:rsid w:val="5ACC7530"/>
    <w:rsid w:val="5ACF3815"/>
    <w:rsid w:val="5AD14B46"/>
    <w:rsid w:val="5AE42474"/>
    <w:rsid w:val="5AEE42B9"/>
    <w:rsid w:val="5AFC6067"/>
    <w:rsid w:val="5AFF16B3"/>
    <w:rsid w:val="5AFF67F1"/>
    <w:rsid w:val="5B092259"/>
    <w:rsid w:val="5B0B62AA"/>
    <w:rsid w:val="5B1A64ED"/>
    <w:rsid w:val="5B1E41F8"/>
    <w:rsid w:val="5B1F1D55"/>
    <w:rsid w:val="5B597E11"/>
    <w:rsid w:val="5B5A2D8E"/>
    <w:rsid w:val="5B5C6B06"/>
    <w:rsid w:val="5B6922E7"/>
    <w:rsid w:val="5B6B6D49"/>
    <w:rsid w:val="5B745BFD"/>
    <w:rsid w:val="5B7806CB"/>
    <w:rsid w:val="5B8F6EDB"/>
    <w:rsid w:val="5B957B30"/>
    <w:rsid w:val="5B9718EC"/>
    <w:rsid w:val="5B981745"/>
    <w:rsid w:val="5BA30291"/>
    <w:rsid w:val="5BA504C5"/>
    <w:rsid w:val="5BA65FD3"/>
    <w:rsid w:val="5BAC183B"/>
    <w:rsid w:val="5BAD110F"/>
    <w:rsid w:val="5BB96ECB"/>
    <w:rsid w:val="5BBC223D"/>
    <w:rsid w:val="5BBE2F3B"/>
    <w:rsid w:val="5BBE50CA"/>
    <w:rsid w:val="5BC04278"/>
    <w:rsid w:val="5BC16969"/>
    <w:rsid w:val="5BC31352"/>
    <w:rsid w:val="5BC53C13"/>
    <w:rsid w:val="5BD14DA8"/>
    <w:rsid w:val="5BD22DCF"/>
    <w:rsid w:val="5BF122D5"/>
    <w:rsid w:val="5BF5502D"/>
    <w:rsid w:val="5C02145B"/>
    <w:rsid w:val="5C0F3B78"/>
    <w:rsid w:val="5C10288E"/>
    <w:rsid w:val="5C157E2C"/>
    <w:rsid w:val="5C1955A8"/>
    <w:rsid w:val="5C1F025F"/>
    <w:rsid w:val="5C29043E"/>
    <w:rsid w:val="5C295357"/>
    <w:rsid w:val="5C341831"/>
    <w:rsid w:val="5C345748"/>
    <w:rsid w:val="5C3511F3"/>
    <w:rsid w:val="5C37487C"/>
    <w:rsid w:val="5C375AE2"/>
    <w:rsid w:val="5C3F2150"/>
    <w:rsid w:val="5C4314AF"/>
    <w:rsid w:val="5C490E1A"/>
    <w:rsid w:val="5C4D5D9A"/>
    <w:rsid w:val="5C4E783B"/>
    <w:rsid w:val="5C587D6E"/>
    <w:rsid w:val="5C5B559A"/>
    <w:rsid w:val="5C5C71D4"/>
    <w:rsid w:val="5C6043D4"/>
    <w:rsid w:val="5C643EC4"/>
    <w:rsid w:val="5C6A0DAE"/>
    <w:rsid w:val="5C702869"/>
    <w:rsid w:val="5C7F2AAC"/>
    <w:rsid w:val="5C88522E"/>
    <w:rsid w:val="5C8C6276"/>
    <w:rsid w:val="5C903E1E"/>
    <w:rsid w:val="5C974577"/>
    <w:rsid w:val="5CA758FA"/>
    <w:rsid w:val="5CA97C4B"/>
    <w:rsid w:val="5CAC62FE"/>
    <w:rsid w:val="5CAF2C65"/>
    <w:rsid w:val="5CB00EB7"/>
    <w:rsid w:val="5CB0535B"/>
    <w:rsid w:val="5CB87597"/>
    <w:rsid w:val="5CC0720F"/>
    <w:rsid w:val="5CC76201"/>
    <w:rsid w:val="5CDE2CF9"/>
    <w:rsid w:val="5CE17E10"/>
    <w:rsid w:val="5CE767EA"/>
    <w:rsid w:val="5CEB314E"/>
    <w:rsid w:val="5CF50FC0"/>
    <w:rsid w:val="5CFD0D01"/>
    <w:rsid w:val="5D045EEE"/>
    <w:rsid w:val="5D0D08C7"/>
    <w:rsid w:val="5D146072"/>
    <w:rsid w:val="5D1A4582"/>
    <w:rsid w:val="5D200DA0"/>
    <w:rsid w:val="5D25631A"/>
    <w:rsid w:val="5D266E7A"/>
    <w:rsid w:val="5D2E5B11"/>
    <w:rsid w:val="5D341F24"/>
    <w:rsid w:val="5D415FB3"/>
    <w:rsid w:val="5D5061F6"/>
    <w:rsid w:val="5D640DE4"/>
    <w:rsid w:val="5D646797"/>
    <w:rsid w:val="5D860062"/>
    <w:rsid w:val="5D8958BC"/>
    <w:rsid w:val="5D9720A4"/>
    <w:rsid w:val="5D9D5CB1"/>
    <w:rsid w:val="5DA54794"/>
    <w:rsid w:val="5DA82536"/>
    <w:rsid w:val="5DB70023"/>
    <w:rsid w:val="5DBA3006"/>
    <w:rsid w:val="5DC33F54"/>
    <w:rsid w:val="5DC34C1A"/>
    <w:rsid w:val="5DCC7F73"/>
    <w:rsid w:val="5DCD7847"/>
    <w:rsid w:val="5DE07C1F"/>
    <w:rsid w:val="5DE77321"/>
    <w:rsid w:val="5DEB008A"/>
    <w:rsid w:val="5DEC23C3"/>
    <w:rsid w:val="5DF03535"/>
    <w:rsid w:val="5DF9512C"/>
    <w:rsid w:val="5DFB2606"/>
    <w:rsid w:val="5E0A45F7"/>
    <w:rsid w:val="5E0B53AF"/>
    <w:rsid w:val="5E0E058B"/>
    <w:rsid w:val="5E1B5AEE"/>
    <w:rsid w:val="5E1F7A90"/>
    <w:rsid w:val="5E23390B"/>
    <w:rsid w:val="5E3D2C1E"/>
    <w:rsid w:val="5E3E0878"/>
    <w:rsid w:val="5E405A9F"/>
    <w:rsid w:val="5E4C4C10"/>
    <w:rsid w:val="5E5100F8"/>
    <w:rsid w:val="5E56783C"/>
    <w:rsid w:val="5E567877"/>
    <w:rsid w:val="5E604B5F"/>
    <w:rsid w:val="5E666A92"/>
    <w:rsid w:val="5E6B2190"/>
    <w:rsid w:val="5E6D2A13"/>
    <w:rsid w:val="5E6F4DA2"/>
    <w:rsid w:val="5E78373C"/>
    <w:rsid w:val="5E835B42"/>
    <w:rsid w:val="5E8C14B0"/>
    <w:rsid w:val="5E8C1A1C"/>
    <w:rsid w:val="5E946C4D"/>
    <w:rsid w:val="5E9B5BB1"/>
    <w:rsid w:val="5EA52572"/>
    <w:rsid w:val="5EAA0C3A"/>
    <w:rsid w:val="5EAD29AC"/>
    <w:rsid w:val="5EC21376"/>
    <w:rsid w:val="5ED115B9"/>
    <w:rsid w:val="5F0A3EC8"/>
    <w:rsid w:val="5F0A66B8"/>
    <w:rsid w:val="5F162807"/>
    <w:rsid w:val="5F1C2834"/>
    <w:rsid w:val="5F223341"/>
    <w:rsid w:val="5F2931A3"/>
    <w:rsid w:val="5F346F7D"/>
    <w:rsid w:val="5F50072F"/>
    <w:rsid w:val="5F547DE0"/>
    <w:rsid w:val="5F6A7F6C"/>
    <w:rsid w:val="5F7206A6"/>
    <w:rsid w:val="5F724B4A"/>
    <w:rsid w:val="5F794706"/>
    <w:rsid w:val="5F7D1A66"/>
    <w:rsid w:val="5F7D704B"/>
    <w:rsid w:val="5F7E72E6"/>
    <w:rsid w:val="5F7F2DC3"/>
    <w:rsid w:val="5F8108E9"/>
    <w:rsid w:val="5F816B3B"/>
    <w:rsid w:val="5F8931D7"/>
    <w:rsid w:val="5F8D1984"/>
    <w:rsid w:val="5F9221B1"/>
    <w:rsid w:val="5F986A0C"/>
    <w:rsid w:val="5F9A437D"/>
    <w:rsid w:val="5FAD16DE"/>
    <w:rsid w:val="5FB0066B"/>
    <w:rsid w:val="5FBA66C9"/>
    <w:rsid w:val="5FBB0C3A"/>
    <w:rsid w:val="5FC44C79"/>
    <w:rsid w:val="5FDB335D"/>
    <w:rsid w:val="5FDC38FC"/>
    <w:rsid w:val="5FE53BE9"/>
    <w:rsid w:val="5FE61094"/>
    <w:rsid w:val="5FEA46E0"/>
    <w:rsid w:val="5FEA7BE2"/>
    <w:rsid w:val="5FEF6680"/>
    <w:rsid w:val="5FEF7F48"/>
    <w:rsid w:val="5FF362F2"/>
    <w:rsid w:val="5FF92B75"/>
    <w:rsid w:val="5FF94923"/>
    <w:rsid w:val="5FFD6F2A"/>
    <w:rsid w:val="5FFE018B"/>
    <w:rsid w:val="60067040"/>
    <w:rsid w:val="60077A47"/>
    <w:rsid w:val="60102FE8"/>
    <w:rsid w:val="60145C01"/>
    <w:rsid w:val="601D15F0"/>
    <w:rsid w:val="6022031E"/>
    <w:rsid w:val="602873C4"/>
    <w:rsid w:val="602A71D2"/>
    <w:rsid w:val="602D6CC3"/>
    <w:rsid w:val="603647DF"/>
    <w:rsid w:val="603F1F5F"/>
    <w:rsid w:val="604026D0"/>
    <w:rsid w:val="60591866"/>
    <w:rsid w:val="60624BBE"/>
    <w:rsid w:val="606E6975"/>
    <w:rsid w:val="6071095D"/>
    <w:rsid w:val="60716BAF"/>
    <w:rsid w:val="60791F08"/>
    <w:rsid w:val="607E275A"/>
    <w:rsid w:val="607E3E56"/>
    <w:rsid w:val="607E737B"/>
    <w:rsid w:val="608542F8"/>
    <w:rsid w:val="60A641E4"/>
    <w:rsid w:val="60AC1C34"/>
    <w:rsid w:val="60B93F2A"/>
    <w:rsid w:val="60D3786A"/>
    <w:rsid w:val="60D52311"/>
    <w:rsid w:val="60DA0BF8"/>
    <w:rsid w:val="60DD2497"/>
    <w:rsid w:val="60DE32CE"/>
    <w:rsid w:val="60E9351C"/>
    <w:rsid w:val="60E97659"/>
    <w:rsid w:val="60EB4BB4"/>
    <w:rsid w:val="60F11A9E"/>
    <w:rsid w:val="60F1703A"/>
    <w:rsid w:val="61113EEE"/>
    <w:rsid w:val="611631D5"/>
    <w:rsid w:val="61354081"/>
    <w:rsid w:val="6142679E"/>
    <w:rsid w:val="61504A17"/>
    <w:rsid w:val="61535920"/>
    <w:rsid w:val="615D0EE2"/>
    <w:rsid w:val="6162474A"/>
    <w:rsid w:val="61645E0A"/>
    <w:rsid w:val="61726E27"/>
    <w:rsid w:val="61764027"/>
    <w:rsid w:val="61776447"/>
    <w:rsid w:val="617D5592"/>
    <w:rsid w:val="61930DA7"/>
    <w:rsid w:val="619A0388"/>
    <w:rsid w:val="61AB7E9F"/>
    <w:rsid w:val="61AE798F"/>
    <w:rsid w:val="61B23B1A"/>
    <w:rsid w:val="61B67B57"/>
    <w:rsid w:val="61C32AED"/>
    <w:rsid w:val="61D218D0"/>
    <w:rsid w:val="61D452B5"/>
    <w:rsid w:val="61E2372A"/>
    <w:rsid w:val="61EB14B9"/>
    <w:rsid w:val="61ED04B8"/>
    <w:rsid w:val="61F96E5C"/>
    <w:rsid w:val="62093CA7"/>
    <w:rsid w:val="62220106"/>
    <w:rsid w:val="62233A0F"/>
    <w:rsid w:val="62280E8D"/>
    <w:rsid w:val="62377985"/>
    <w:rsid w:val="623C30AC"/>
    <w:rsid w:val="62467B5F"/>
    <w:rsid w:val="62483940"/>
    <w:rsid w:val="624A14D0"/>
    <w:rsid w:val="62565A8F"/>
    <w:rsid w:val="625B5C5E"/>
    <w:rsid w:val="625B63C5"/>
    <w:rsid w:val="626B20F3"/>
    <w:rsid w:val="626B3CFD"/>
    <w:rsid w:val="626D33A6"/>
    <w:rsid w:val="626E1CA6"/>
    <w:rsid w:val="627D5CDF"/>
    <w:rsid w:val="627E3805"/>
    <w:rsid w:val="62820AE3"/>
    <w:rsid w:val="62821085"/>
    <w:rsid w:val="628648BE"/>
    <w:rsid w:val="62A6484F"/>
    <w:rsid w:val="62A75240"/>
    <w:rsid w:val="62B66AFB"/>
    <w:rsid w:val="62CA2DBC"/>
    <w:rsid w:val="62CE3EAE"/>
    <w:rsid w:val="62D274E2"/>
    <w:rsid w:val="62DB0C58"/>
    <w:rsid w:val="62E775FD"/>
    <w:rsid w:val="62F2243E"/>
    <w:rsid w:val="62FD6392"/>
    <w:rsid w:val="62FE4892"/>
    <w:rsid w:val="630435F9"/>
    <w:rsid w:val="630E06E5"/>
    <w:rsid w:val="630E18F3"/>
    <w:rsid w:val="63163D7D"/>
    <w:rsid w:val="631A352E"/>
    <w:rsid w:val="631E49E9"/>
    <w:rsid w:val="632A2D8B"/>
    <w:rsid w:val="633876C2"/>
    <w:rsid w:val="634C7460"/>
    <w:rsid w:val="635527B8"/>
    <w:rsid w:val="635C7920"/>
    <w:rsid w:val="63604CA7"/>
    <w:rsid w:val="6362517F"/>
    <w:rsid w:val="636B2A0B"/>
    <w:rsid w:val="636E312B"/>
    <w:rsid w:val="63855B9B"/>
    <w:rsid w:val="63877184"/>
    <w:rsid w:val="638E1523"/>
    <w:rsid w:val="638E611D"/>
    <w:rsid w:val="639122E8"/>
    <w:rsid w:val="63960138"/>
    <w:rsid w:val="639D5F0D"/>
    <w:rsid w:val="63AB4186"/>
    <w:rsid w:val="63AE1EC8"/>
    <w:rsid w:val="63AF6FBE"/>
    <w:rsid w:val="63BC45E5"/>
    <w:rsid w:val="63C50D9C"/>
    <w:rsid w:val="63C532AF"/>
    <w:rsid w:val="63D77671"/>
    <w:rsid w:val="63F74DA8"/>
    <w:rsid w:val="64075874"/>
    <w:rsid w:val="6408782B"/>
    <w:rsid w:val="640C536F"/>
    <w:rsid w:val="6413101F"/>
    <w:rsid w:val="641C7510"/>
    <w:rsid w:val="641E2BAA"/>
    <w:rsid w:val="64213D5E"/>
    <w:rsid w:val="642223EC"/>
    <w:rsid w:val="642662D1"/>
    <w:rsid w:val="64276383"/>
    <w:rsid w:val="642F3009"/>
    <w:rsid w:val="6430565F"/>
    <w:rsid w:val="64352FC9"/>
    <w:rsid w:val="64544063"/>
    <w:rsid w:val="645F1C69"/>
    <w:rsid w:val="646070F1"/>
    <w:rsid w:val="646862F5"/>
    <w:rsid w:val="647471A8"/>
    <w:rsid w:val="64861B40"/>
    <w:rsid w:val="648844C8"/>
    <w:rsid w:val="648903D6"/>
    <w:rsid w:val="64A34419"/>
    <w:rsid w:val="64B20FE9"/>
    <w:rsid w:val="64B3156D"/>
    <w:rsid w:val="64B461A1"/>
    <w:rsid w:val="64BB489D"/>
    <w:rsid w:val="64D1431B"/>
    <w:rsid w:val="64D67929"/>
    <w:rsid w:val="64DB0A9B"/>
    <w:rsid w:val="64EB43A8"/>
    <w:rsid w:val="64F1206D"/>
    <w:rsid w:val="64F21708"/>
    <w:rsid w:val="64F31AEB"/>
    <w:rsid w:val="64FB24EC"/>
    <w:rsid w:val="64FF3320"/>
    <w:rsid w:val="65075D34"/>
    <w:rsid w:val="652058AB"/>
    <w:rsid w:val="65230E16"/>
    <w:rsid w:val="65240694"/>
    <w:rsid w:val="652765F9"/>
    <w:rsid w:val="652E0F04"/>
    <w:rsid w:val="65320920"/>
    <w:rsid w:val="65424FBE"/>
    <w:rsid w:val="65573393"/>
    <w:rsid w:val="655D7A20"/>
    <w:rsid w:val="65603E78"/>
    <w:rsid w:val="656C5B97"/>
    <w:rsid w:val="656F7D0D"/>
    <w:rsid w:val="65814804"/>
    <w:rsid w:val="65896749"/>
    <w:rsid w:val="659247CE"/>
    <w:rsid w:val="659C15CD"/>
    <w:rsid w:val="65A25A5D"/>
    <w:rsid w:val="65A75204"/>
    <w:rsid w:val="65B0017A"/>
    <w:rsid w:val="65B512EC"/>
    <w:rsid w:val="65B71508"/>
    <w:rsid w:val="65BD6DBB"/>
    <w:rsid w:val="65CE612E"/>
    <w:rsid w:val="65D21249"/>
    <w:rsid w:val="65D5373C"/>
    <w:rsid w:val="65DB4B27"/>
    <w:rsid w:val="65DD0334"/>
    <w:rsid w:val="65E6594A"/>
    <w:rsid w:val="65E72A9D"/>
    <w:rsid w:val="65EE4001"/>
    <w:rsid w:val="65F938CF"/>
    <w:rsid w:val="660238D5"/>
    <w:rsid w:val="6606775E"/>
    <w:rsid w:val="660E6032"/>
    <w:rsid w:val="660E6C4E"/>
    <w:rsid w:val="661523C5"/>
    <w:rsid w:val="6631001E"/>
    <w:rsid w:val="663117C6"/>
    <w:rsid w:val="66372A75"/>
    <w:rsid w:val="66510945"/>
    <w:rsid w:val="665925BF"/>
    <w:rsid w:val="665E13C9"/>
    <w:rsid w:val="666B22F3"/>
    <w:rsid w:val="667A42E4"/>
    <w:rsid w:val="667C1562"/>
    <w:rsid w:val="667D31FC"/>
    <w:rsid w:val="66886A01"/>
    <w:rsid w:val="668F1B3D"/>
    <w:rsid w:val="669453A6"/>
    <w:rsid w:val="66952261"/>
    <w:rsid w:val="669B2BD8"/>
    <w:rsid w:val="66AF1668"/>
    <w:rsid w:val="66BE68C6"/>
    <w:rsid w:val="66CD2666"/>
    <w:rsid w:val="66D165FA"/>
    <w:rsid w:val="66D26FF9"/>
    <w:rsid w:val="66D55543"/>
    <w:rsid w:val="66DA78DD"/>
    <w:rsid w:val="66DD09DF"/>
    <w:rsid w:val="66E3632D"/>
    <w:rsid w:val="66E520A5"/>
    <w:rsid w:val="66E57795"/>
    <w:rsid w:val="66E8340B"/>
    <w:rsid w:val="66EB0EDC"/>
    <w:rsid w:val="66F73056"/>
    <w:rsid w:val="66FE2FE9"/>
    <w:rsid w:val="67095D94"/>
    <w:rsid w:val="670B72A6"/>
    <w:rsid w:val="672F1BDD"/>
    <w:rsid w:val="672F3D42"/>
    <w:rsid w:val="673027C6"/>
    <w:rsid w:val="67380427"/>
    <w:rsid w:val="673A16D6"/>
    <w:rsid w:val="67400876"/>
    <w:rsid w:val="6759039D"/>
    <w:rsid w:val="675E14C6"/>
    <w:rsid w:val="67623FD2"/>
    <w:rsid w:val="678A0557"/>
    <w:rsid w:val="679555B1"/>
    <w:rsid w:val="67AF5623"/>
    <w:rsid w:val="67BA708E"/>
    <w:rsid w:val="67C25F42"/>
    <w:rsid w:val="67C92F95"/>
    <w:rsid w:val="67CA6D9C"/>
    <w:rsid w:val="67D31EFE"/>
    <w:rsid w:val="67D829F0"/>
    <w:rsid w:val="67E33396"/>
    <w:rsid w:val="67E40A02"/>
    <w:rsid w:val="67E64FC1"/>
    <w:rsid w:val="67FC4A77"/>
    <w:rsid w:val="68024591"/>
    <w:rsid w:val="68060525"/>
    <w:rsid w:val="68133156"/>
    <w:rsid w:val="68140D4F"/>
    <w:rsid w:val="681A7B2C"/>
    <w:rsid w:val="68213F93"/>
    <w:rsid w:val="68272484"/>
    <w:rsid w:val="68307350"/>
    <w:rsid w:val="68397197"/>
    <w:rsid w:val="68422912"/>
    <w:rsid w:val="68460112"/>
    <w:rsid w:val="684875B9"/>
    <w:rsid w:val="684D4C26"/>
    <w:rsid w:val="68567815"/>
    <w:rsid w:val="686060D9"/>
    <w:rsid w:val="68661E63"/>
    <w:rsid w:val="68666ED2"/>
    <w:rsid w:val="6869180E"/>
    <w:rsid w:val="686D2352"/>
    <w:rsid w:val="6870599E"/>
    <w:rsid w:val="688033B2"/>
    <w:rsid w:val="68892749"/>
    <w:rsid w:val="689626F6"/>
    <w:rsid w:val="68A67570"/>
    <w:rsid w:val="68A758E6"/>
    <w:rsid w:val="68AB4C28"/>
    <w:rsid w:val="68B40A94"/>
    <w:rsid w:val="68B41D2F"/>
    <w:rsid w:val="68C0715E"/>
    <w:rsid w:val="68C271F1"/>
    <w:rsid w:val="68C77CB4"/>
    <w:rsid w:val="68CB7D5C"/>
    <w:rsid w:val="68CF175C"/>
    <w:rsid w:val="68E65C61"/>
    <w:rsid w:val="68EE2EEE"/>
    <w:rsid w:val="68EF5D0B"/>
    <w:rsid w:val="68F33782"/>
    <w:rsid w:val="68F95B77"/>
    <w:rsid w:val="68FB170C"/>
    <w:rsid w:val="68FF67A9"/>
    <w:rsid w:val="6905258B"/>
    <w:rsid w:val="690C6E08"/>
    <w:rsid w:val="691A0421"/>
    <w:rsid w:val="69214FA0"/>
    <w:rsid w:val="69256789"/>
    <w:rsid w:val="692E2209"/>
    <w:rsid w:val="6933534A"/>
    <w:rsid w:val="6935200D"/>
    <w:rsid w:val="69400B32"/>
    <w:rsid w:val="6945507D"/>
    <w:rsid w:val="694B5E69"/>
    <w:rsid w:val="694F3BAC"/>
    <w:rsid w:val="69584DB0"/>
    <w:rsid w:val="695D734B"/>
    <w:rsid w:val="6965127B"/>
    <w:rsid w:val="69652175"/>
    <w:rsid w:val="69692B1A"/>
    <w:rsid w:val="69747710"/>
    <w:rsid w:val="69776FBF"/>
    <w:rsid w:val="697A2F79"/>
    <w:rsid w:val="697D1356"/>
    <w:rsid w:val="697D33CE"/>
    <w:rsid w:val="69851BCE"/>
    <w:rsid w:val="6986144B"/>
    <w:rsid w:val="698F4BE2"/>
    <w:rsid w:val="699B1787"/>
    <w:rsid w:val="699B5783"/>
    <w:rsid w:val="69A578CA"/>
    <w:rsid w:val="69A71894"/>
    <w:rsid w:val="69AA0D1F"/>
    <w:rsid w:val="69AF0748"/>
    <w:rsid w:val="69BE470A"/>
    <w:rsid w:val="69C56DDC"/>
    <w:rsid w:val="69CF0B64"/>
    <w:rsid w:val="69D106BF"/>
    <w:rsid w:val="69D501AF"/>
    <w:rsid w:val="69DA11A0"/>
    <w:rsid w:val="6A050368"/>
    <w:rsid w:val="6A096E37"/>
    <w:rsid w:val="6A0E1913"/>
    <w:rsid w:val="6A104FAD"/>
    <w:rsid w:val="6A1123EB"/>
    <w:rsid w:val="6A141EDF"/>
    <w:rsid w:val="6A19291A"/>
    <w:rsid w:val="6A293751"/>
    <w:rsid w:val="6A396731"/>
    <w:rsid w:val="6A3C022E"/>
    <w:rsid w:val="6A4B41D6"/>
    <w:rsid w:val="6A7322BF"/>
    <w:rsid w:val="6A75729C"/>
    <w:rsid w:val="6A7E25F5"/>
    <w:rsid w:val="6A835E5D"/>
    <w:rsid w:val="6A97645D"/>
    <w:rsid w:val="6A981964"/>
    <w:rsid w:val="6AA10091"/>
    <w:rsid w:val="6AA656A7"/>
    <w:rsid w:val="6AAD19AF"/>
    <w:rsid w:val="6ABA6A89"/>
    <w:rsid w:val="6AC8114F"/>
    <w:rsid w:val="6ACB4E1F"/>
    <w:rsid w:val="6AD40467"/>
    <w:rsid w:val="6AD611E6"/>
    <w:rsid w:val="6ADF5361"/>
    <w:rsid w:val="6AE0505D"/>
    <w:rsid w:val="6AE53FD0"/>
    <w:rsid w:val="6AF02DC7"/>
    <w:rsid w:val="6AF208ED"/>
    <w:rsid w:val="6AFD2B13"/>
    <w:rsid w:val="6B054588"/>
    <w:rsid w:val="6B054AC4"/>
    <w:rsid w:val="6B0D5727"/>
    <w:rsid w:val="6B0F1BA0"/>
    <w:rsid w:val="6B122469"/>
    <w:rsid w:val="6B122D3D"/>
    <w:rsid w:val="6B12364B"/>
    <w:rsid w:val="6B125684"/>
    <w:rsid w:val="6B19556D"/>
    <w:rsid w:val="6B1C606A"/>
    <w:rsid w:val="6B217433"/>
    <w:rsid w:val="6B246DE4"/>
    <w:rsid w:val="6B264D71"/>
    <w:rsid w:val="6B302352"/>
    <w:rsid w:val="6B315AE0"/>
    <w:rsid w:val="6B3D425E"/>
    <w:rsid w:val="6B4F3F91"/>
    <w:rsid w:val="6B574BF4"/>
    <w:rsid w:val="6B646260"/>
    <w:rsid w:val="6B6473E8"/>
    <w:rsid w:val="6B7834E8"/>
    <w:rsid w:val="6B8754D9"/>
    <w:rsid w:val="6B8D21A8"/>
    <w:rsid w:val="6B9B71D6"/>
    <w:rsid w:val="6BA859AB"/>
    <w:rsid w:val="6BB200BF"/>
    <w:rsid w:val="6BB6699F"/>
    <w:rsid w:val="6BBD7217"/>
    <w:rsid w:val="6BC5451A"/>
    <w:rsid w:val="6BC86611"/>
    <w:rsid w:val="6BCA1306"/>
    <w:rsid w:val="6BCA40FD"/>
    <w:rsid w:val="6BCF1645"/>
    <w:rsid w:val="6BD37503"/>
    <w:rsid w:val="6BE75F78"/>
    <w:rsid w:val="6C0168EF"/>
    <w:rsid w:val="6C0E7FCD"/>
    <w:rsid w:val="6C0F5969"/>
    <w:rsid w:val="6C156F89"/>
    <w:rsid w:val="6C335661"/>
    <w:rsid w:val="6C3F5A22"/>
    <w:rsid w:val="6C48359B"/>
    <w:rsid w:val="6C487058"/>
    <w:rsid w:val="6C5B5AF8"/>
    <w:rsid w:val="6C5E66E4"/>
    <w:rsid w:val="6C64581A"/>
    <w:rsid w:val="6C703E8F"/>
    <w:rsid w:val="6C79404E"/>
    <w:rsid w:val="6C8556BA"/>
    <w:rsid w:val="6C861C34"/>
    <w:rsid w:val="6C871509"/>
    <w:rsid w:val="6C8900EF"/>
    <w:rsid w:val="6C8F131B"/>
    <w:rsid w:val="6C9D784A"/>
    <w:rsid w:val="6CA34594"/>
    <w:rsid w:val="6CB6534E"/>
    <w:rsid w:val="6CB662A5"/>
    <w:rsid w:val="6CBC3422"/>
    <w:rsid w:val="6CC064EC"/>
    <w:rsid w:val="6CC90DA6"/>
    <w:rsid w:val="6CD02EB0"/>
    <w:rsid w:val="6CD21179"/>
    <w:rsid w:val="6CD25CC9"/>
    <w:rsid w:val="6CD82BCC"/>
    <w:rsid w:val="6CE1330F"/>
    <w:rsid w:val="6CE5340A"/>
    <w:rsid w:val="6CE7532A"/>
    <w:rsid w:val="6CE81FDF"/>
    <w:rsid w:val="6CE93F71"/>
    <w:rsid w:val="6CF02363"/>
    <w:rsid w:val="6CF31168"/>
    <w:rsid w:val="6CFD4702"/>
    <w:rsid w:val="6D02661C"/>
    <w:rsid w:val="6D0753E1"/>
    <w:rsid w:val="6D0D472B"/>
    <w:rsid w:val="6D2161FD"/>
    <w:rsid w:val="6D2356D5"/>
    <w:rsid w:val="6D2C0DEA"/>
    <w:rsid w:val="6D3F0468"/>
    <w:rsid w:val="6D502342"/>
    <w:rsid w:val="6D595FC5"/>
    <w:rsid w:val="6D621934"/>
    <w:rsid w:val="6D6C0E2A"/>
    <w:rsid w:val="6D7928BF"/>
    <w:rsid w:val="6D7E3133"/>
    <w:rsid w:val="6D877772"/>
    <w:rsid w:val="6D88378A"/>
    <w:rsid w:val="6D94212F"/>
    <w:rsid w:val="6D94672A"/>
    <w:rsid w:val="6D967C55"/>
    <w:rsid w:val="6DAD444D"/>
    <w:rsid w:val="6DAD5093"/>
    <w:rsid w:val="6DB540E7"/>
    <w:rsid w:val="6DB64329"/>
    <w:rsid w:val="6DC5053A"/>
    <w:rsid w:val="6DC81DD9"/>
    <w:rsid w:val="6DD15475"/>
    <w:rsid w:val="6DD24A05"/>
    <w:rsid w:val="6DDA221E"/>
    <w:rsid w:val="6DDD3AD6"/>
    <w:rsid w:val="6DDE33AA"/>
    <w:rsid w:val="6DF826BE"/>
    <w:rsid w:val="6DFE57FA"/>
    <w:rsid w:val="6E026A5C"/>
    <w:rsid w:val="6E0A447B"/>
    <w:rsid w:val="6E0C64A0"/>
    <w:rsid w:val="6E14501E"/>
    <w:rsid w:val="6E177947"/>
    <w:rsid w:val="6E1B45FE"/>
    <w:rsid w:val="6E1B4C9D"/>
    <w:rsid w:val="6E296D1B"/>
    <w:rsid w:val="6E2A4841"/>
    <w:rsid w:val="6E317332"/>
    <w:rsid w:val="6E367FF1"/>
    <w:rsid w:val="6E4C166D"/>
    <w:rsid w:val="6E5501A8"/>
    <w:rsid w:val="6E554C00"/>
    <w:rsid w:val="6E554D45"/>
    <w:rsid w:val="6E59118B"/>
    <w:rsid w:val="6E69454E"/>
    <w:rsid w:val="6E6C4E5A"/>
    <w:rsid w:val="6E6D7DB8"/>
    <w:rsid w:val="6E8142FE"/>
    <w:rsid w:val="6E961391"/>
    <w:rsid w:val="6E9A5523"/>
    <w:rsid w:val="6EBB669A"/>
    <w:rsid w:val="6EBE56B6"/>
    <w:rsid w:val="6EBF3010"/>
    <w:rsid w:val="6ECB479D"/>
    <w:rsid w:val="6ECE1671"/>
    <w:rsid w:val="6ED822C0"/>
    <w:rsid w:val="6EEE586F"/>
    <w:rsid w:val="6EEE5E48"/>
    <w:rsid w:val="6EF37D9D"/>
    <w:rsid w:val="6EF530A1"/>
    <w:rsid w:val="6EF90DF5"/>
    <w:rsid w:val="6F033104"/>
    <w:rsid w:val="6F0E457E"/>
    <w:rsid w:val="6F39428B"/>
    <w:rsid w:val="6F3E67F6"/>
    <w:rsid w:val="6F410095"/>
    <w:rsid w:val="6F4117F6"/>
    <w:rsid w:val="6F451933"/>
    <w:rsid w:val="6F461F6C"/>
    <w:rsid w:val="6F4D6A71"/>
    <w:rsid w:val="6F4E5CAC"/>
    <w:rsid w:val="6F5D10DD"/>
    <w:rsid w:val="6F6126B0"/>
    <w:rsid w:val="6F6515FD"/>
    <w:rsid w:val="6F6B6EC0"/>
    <w:rsid w:val="6F88495E"/>
    <w:rsid w:val="6F8B2150"/>
    <w:rsid w:val="6F957303"/>
    <w:rsid w:val="6F9B37A9"/>
    <w:rsid w:val="6FB50E00"/>
    <w:rsid w:val="6FB66352"/>
    <w:rsid w:val="6FC55DD6"/>
    <w:rsid w:val="6FCE5C0F"/>
    <w:rsid w:val="6FD74555"/>
    <w:rsid w:val="6FD827A7"/>
    <w:rsid w:val="6FDA1EF2"/>
    <w:rsid w:val="6FE903D6"/>
    <w:rsid w:val="70040134"/>
    <w:rsid w:val="70082960"/>
    <w:rsid w:val="70097538"/>
    <w:rsid w:val="700A0487"/>
    <w:rsid w:val="700A492A"/>
    <w:rsid w:val="70180DF5"/>
    <w:rsid w:val="701E3F32"/>
    <w:rsid w:val="70352345"/>
    <w:rsid w:val="703E757B"/>
    <w:rsid w:val="70485412"/>
    <w:rsid w:val="704936A5"/>
    <w:rsid w:val="70505962"/>
    <w:rsid w:val="70556B7F"/>
    <w:rsid w:val="7071076C"/>
    <w:rsid w:val="707302E4"/>
    <w:rsid w:val="7080200E"/>
    <w:rsid w:val="708A02D4"/>
    <w:rsid w:val="708C5E3D"/>
    <w:rsid w:val="70902D52"/>
    <w:rsid w:val="70971C78"/>
    <w:rsid w:val="70A732C8"/>
    <w:rsid w:val="70AC33A1"/>
    <w:rsid w:val="70B2124A"/>
    <w:rsid w:val="70B34ACD"/>
    <w:rsid w:val="70BD3767"/>
    <w:rsid w:val="70D2369A"/>
    <w:rsid w:val="70D70CB1"/>
    <w:rsid w:val="70E57F84"/>
    <w:rsid w:val="70E60A64"/>
    <w:rsid w:val="70F126D4"/>
    <w:rsid w:val="70F51C24"/>
    <w:rsid w:val="70F54AF7"/>
    <w:rsid w:val="71041FC2"/>
    <w:rsid w:val="71063724"/>
    <w:rsid w:val="71151E26"/>
    <w:rsid w:val="71211F2C"/>
    <w:rsid w:val="71301DA6"/>
    <w:rsid w:val="7137174F"/>
    <w:rsid w:val="713D58B3"/>
    <w:rsid w:val="714A1DE3"/>
    <w:rsid w:val="714B0D57"/>
    <w:rsid w:val="714D2D21"/>
    <w:rsid w:val="715925B9"/>
    <w:rsid w:val="715B15F5"/>
    <w:rsid w:val="71625960"/>
    <w:rsid w:val="71756E14"/>
    <w:rsid w:val="71780BAF"/>
    <w:rsid w:val="71793B16"/>
    <w:rsid w:val="71841F3D"/>
    <w:rsid w:val="71866233"/>
    <w:rsid w:val="71A16BC9"/>
    <w:rsid w:val="71A87F57"/>
    <w:rsid w:val="71A927D8"/>
    <w:rsid w:val="71AD7C63"/>
    <w:rsid w:val="71B6695E"/>
    <w:rsid w:val="71BB2380"/>
    <w:rsid w:val="71BF2ECA"/>
    <w:rsid w:val="71C01745"/>
    <w:rsid w:val="71CB5A5B"/>
    <w:rsid w:val="71CD40C9"/>
    <w:rsid w:val="71DC1959"/>
    <w:rsid w:val="71DE2F2B"/>
    <w:rsid w:val="71F25676"/>
    <w:rsid w:val="72001A70"/>
    <w:rsid w:val="72007D93"/>
    <w:rsid w:val="72135D18"/>
    <w:rsid w:val="721B697B"/>
    <w:rsid w:val="72216AFA"/>
    <w:rsid w:val="72247D15"/>
    <w:rsid w:val="722666BE"/>
    <w:rsid w:val="722A6D26"/>
    <w:rsid w:val="723B701D"/>
    <w:rsid w:val="72443A6E"/>
    <w:rsid w:val="724759C2"/>
    <w:rsid w:val="724C22FA"/>
    <w:rsid w:val="724E055C"/>
    <w:rsid w:val="72536115"/>
    <w:rsid w:val="72592AAA"/>
    <w:rsid w:val="725B76BF"/>
    <w:rsid w:val="725E2D0C"/>
    <w:rsid w:val="726C5429"/>
    <w:rsid w:val="72785F4F"/>
    <w:rsid w:val="7281252C"/>
    <w:rsid w:val="728A2B17"/>
    <w:rsid w:val="72907165"/>
    <w:rsid w:val="72A252EE"/>
    <w:rsid w:val="72A2709C"/>
    <w:rsid w:val="72A70C37"/>
    <w:rsid w:val="72A974D4"/>
    <w:rsid w:val="72AF3C9F"/>
    <w:rsid w:val="72C07BD9"/>
    <w:rsid w:val="72CB03A1"/>
    <w:rsid w:val="72CE60E3"/>
    <w:rsid w:val="72D21496"/>
    <w:rsid w:val="72D37256"/>
    <w:rsid w:val="72D61858"/>
    <w:rsid w:val="72DA014C"/>
    <w:rsid w:val="72E17BC5"/>
    <w:rsid w:val="72E44E5D"/>
    <w:rsid w:val="72EE5C82"/>
    <w:rsid w:val="72F122F1"/>
    <w:rsid w:val="72F309AB"/>
    <w:rsid w:val="72FD43F5"/>
    <w:rsid w:val="72FD7A30"/>
    <w:rsid w:val="730B2604"/>
    <w:rsid w:val="73162FB3"/>
    <w:rsid w:val="731972D9"/>
    <w:rsid w:val="731A2606"/>
    <w:rsid w:val="732775A1"/>
    <w:rsid w:val="732A50FB"/>
    <w:rsid w:val="73314AEF"/>
    <w:rsid w:val="73331E0E"/>
    <w:rsid w:val="73455658"/>
    <w:rsid w:val="734A3D4D"/>
    <w:rsid w:val="734B14E2"/>
    <w:rsid w:val="735E1767"/>
    <w:rsid w:val="735E7467"/>
    <w:rsid w:val="73607CCD"/>
    <w:rsid w:val="736D26B3"/>
    <w:rsid w:val="7379448D"/>
    <w:rsid w:val="738270AA"/>
    <w:rsid w:val="738D6197"/>
    <w:rsid w:val="73915FD5"/>
    <w:rsid w:val="7395275D"/>
    <w:rsid w:val="73AE6635"/>
    <w:rsid w:val="73BF07A8"/>
    <w:rsid w:val="73C03C7E"/>
    <w:rsid w:val="73C61CE1"/>
    <w:rsid w:val="73D730D7"/>
    <w:rsid w:val="73D97F4F"/>
    <w:rsid w:val="73E62FB9"/>
    <w:rsid w:val="73F27BAF"/>
    <w:rsid w:val="73FB241E"/>
    <w:rsid w:val="73FC2DC4"/>
    <w:rsid w:val="7414370C"/>
    <w:rsid w:val="74156199"/>
    <w:rsid w:val="74164C77"/>
    <w:rsid w:val="74177EF7"/>
    <w:rsid w:val="74187AD2"/>
    <w:rsid w:val="74253AE1"/>
    <w:rsid w:val="74271FB8"/>
    <w:rsid w:val="742A69AF"/>
    <w:rsid w:val="742C30C1"/>
    <w:rsid w:val="74325266"/>
    <w:rsid w:val="74387524"/>
    <w:rsid w:val="74394830"/>
    <w:rsid w:val="743C16F5"/>
    <w:rsid w:val="744C5C5E"/>
    <w:rsid w:val="745A5011"/>
    <w:rsid w:val="74600FA3"/>
    <w:rsid w:val="746E20CC"/>
    <w:rsid w:val="7471017E"/>
    <w:rsid w:val="747B34D0"/>
    <w:rsid w:val="74992DF2"/>
    <w:rsid w:val="74A013B9"/>
    <w:rsid w:val="74AC4202"/>
    <w:rsid w:val="74AE465B"/>
    <w:rsid w:val="74B11819"/>
    <w:rsid w:val="74C81D5A"/>
    <w:rsid w:val="74D1212F"/>
    <w:rsid w:val="74DB6895"/>
    <w:rsid w:val="74FC38C3"/>
    <w:rsid w:val="74FD05BA"/>
    <w:rsid w:val="75022074"/>
    <w:rsid w:val="75143353"/>
    <w:rsid w:val="75151DA7"/>
    <w:rsid w:val="751E1551"/>
    <w:rsid w:val="75246D2D"/>
    <w:rsid w:val="752658E4"/>
    <w:rsid w:val="752F701E"/>
    <w:rsid w:val="75325ED7"/>
    <w:rsid w:val="755034C5"/>
    <w:rsid w:val="755B364C"/>
    <w:rsid w:val="756D7CD0"/>
    <w:rsid w:val="757539F0"/>
    <w:rsid w:val="758371D8"/>
    <w:rsid w:val="75864A53"/>
    <w:rsid w:val="758B3E18"/>
    <w:rsid w:val="75976C60"/>
    <w:rsid w:val="75981CB7"/>
    <w:rsid w:val="75A03D67"/>
    <w:rsid w:val="75A924F0"/>
    <w:rsid w:val="75AF5D8D"/>
    <w:rsid w:val="75B47AFE"/>
    <w:rsid w:val="75B72E5F"/>
    <w:rsid w:val="75B9430F"/>
    <w:rsid w:val="75BC511D"/>
    <w:rsid w:val="75CA2B92"/>
    <w:rsid w:val="75CF5776"/>
    <w:rsid w:val="75D13EE9"/>
    <w:rsid w:val="75D31E27"/>
    <w:rsid w:val="75DB4D9F"/>
    <w:rsid w:val="75F57EFF"/>
    <w:rsid w:val="75F93477"/>
    <w:rsid w:val="76063D49"/>
    <w:rsid w:val="761F0B6C"/>
    <w:rsid w:val="761F0FAF"/>
    <w:rsid w:val="762A44D5"/>
    <w:rsid w:val="762B33EC"/>
    <w:rsid w:val="7650177E"/>
    <w:rsid w:val="766C1B68"/>
    <w:rsid w:val="767577D5"/>
    <w:rsid w:val="767931BC"/>
    <w:rsid w:val="767C19B2"/>
    <w:rsid w:val="767D7C04"/>
    <w:rsid w:val="76872831"/>
    <w:rsid w:val="768C436B"/>
    <w:rsid w:val="769136B0"/>
    <w:rsid w:val="769431A0"/>
    <w:rsid w:val="7696084C"/>
    <w:rsid w:val="769A1332"/>
    <w:rsid w:val="769B452E"/>
    <w:rsid w:val="76AA6412"/>
    <w:rsid w:val="76B86D59"/>
    <w:rsid w:val="76B86E8E"/>
    <w:rsid w:val="76BB697E"/>
    <w:rsid w:val="76BC620A"/>
    <w:rsid w:val="76BF12EE"/>
    <w:rsid w:val="76C00504"/>
    <w:rsid w:val="76C03F95"/>
    <w:rsid w:val="76CF2B2C"/>
    <w:rsid w:val="76D57E43"/>
    <w:rsid w:val="76DA67B5"/>
    <w:rsid w:val="76DF055F"/>
    <w:rsid w:val="76EC6B38"/>
    <w:rsid w:val="76EC776D"/>
    <w:rsid w:val="76EE09AE"/>
    <w:rsid w:val="76EE465E"/>
    <w:rsid w:val="76EE5700"/>
    <w:rsid w:val="76F329AC"/>
    <w:rsid w:val="76F57F83"/>
    <w:rsid w:val="76F81981"/>
    <w:rsid w:val="76FD729E"/>
    <w:rsid w:val="77083846"/>
    <w:rsid w:val="771C201F"/>
    <w:rsid w:val="771E534B"/>
    <w:rsid w:val="772D1753"/>
    <w:rsid w:val="774626EC"/>
    <w:rsid w:val="77476464"/>
    <w:rsid w:val="774921DC"/>
    <w:rsid w:val="7761171D"/>
    <w:rsid w:val="776209F2"/>
    <w:rsid w:val="77657ADF"/>
    <w:rsid w:val="77676393"/>
    <w:rsid w:val="776C1F3A"/>
    <w:rsid w:val="77737259"/>
    <w:rsid w:val="77860D3A"/>
    <w:rsid w:val="77AB582E"/>
    <w:rsid w:val="77AE62E4"/>
    <w:rsid w:val="77BD0907"/>
    <w:rsid w:val="77CB55F9"/>
    <w:rsid w:val="77EE5AEF"/>
    <w:rsid w:val="77F97E6A"/>
    <w:rsid w:val="78007561"/>
    <w:rsid w:val="78033C3A"/>
    <w:rsid w:val="78096B33"/>
    <w:rsid w:val="780E2D81"/>
    <w:rsid w:val="78135517"/>
    <w:rsid w:val="781833E4"/>
    <w:rsid w:val="781A7E20"/>
    <w:rsid w:val="78232460"/>
    <w:rsid w:val="7826045F"/>
    <w:rsid w:val="782D2F68"/>
    <w:rsid w:val="782D7408"/>
    <w:rsid w:val="782E6D37"/>
    <w:rsid w:val="7831514A"/>
    <w:rsid w:val="78433EFA"/>
    <w:rsid w:val="784529A4"/>
    <w:rsid w:val="78620011"/>
    <w:rsid w:val="7883568D"/>
    <w:rsid w:val="7888118D"/>
    <w:rsid w:val="78903612"/>
    <w:rsid w:val="78A50523"/>
    <w:rsid w:val="78A51694"/>
    <w:rsid w:val="78AD53DD"/>
    <w:rsid w:val="78B158B9"/>
    <w:rsid w:val="78B463A8"/>
    <w:rsid w:val="78C15AF1"/>
    <w:rsid w:val="78C60D10"/>
    <w:rsid w:val="78C87131"/>
    <w:rsid w:val="78D06A72"/>
    <w:rsid w:val="78D55484"/>
    <w:rsid w:val="78D81CD3"/>
    <w:rsid w:val="78D9133E"/>
    <w:rsid w:val="78DD0E2E"/>
    <w:rsid w:val="78DE0702"/>
    <w:rsid w:val="78F85816"/>
    <w:rsid w:val="790216D5"/>
    <w:rsid w:val="790243F1"/>
    <w:rsid w:val="790740FD"/>
    <w:rsid w:val="790C109A"/>
    <w:rsid w:val="7918089D"/>
    <w:rsid w:val="79241D72"/>
    <w:rsid w:val="79250AF2"/>
    <w:rsid w:val="7926607F"/>
    <w:rsid w:val="793762BB"/>
    <w:rsid w:val="794C1B10"/>
    <w:rsid w:val="794C38BE"/>
    <w:rsid w:val="794E0B49"/>
    <w:rsid w:val="79555470"/>
    <w:rsid w:val="7956473D"/>
    <w:rsid w:val="79586707"/>
    <w:rsid w:val="797F65C2"/>
    <w:rsid w:val="79824643"/>
    <w:rsid w:val="79923D8C"/>
    <w:rsid w:val="799B1961"/>
    <w:rsid w:val="799E57FD"/>
    <w:rsid w:val="79A454A8"/>
    <w:rsid w:val="79A93FD0"/>
    <w:rsid w:val="79AC21E9"/>
    <w:rsid w:val="79BC20F8"/>
    <w:rsid w:val="79D03EE9"/>
    <w:rsid w:val="79D77146"/>
    <w:rsid w:val="79DE2976"/>
    <w:rsid w:val="79E179F6"/>
    <w:rsid w:val="79EC0021"/>
    <w:rsid w:val="79ED6E4F"/>
    <w:rsid w:val="79F23907"/>
    <w:rsid w:val="79FC1788"/>
    <w:rsid w:val="79FC5AF6"/>
    <w:rsid w:val="79FD71E4"/>
    <w:rsid w:val="7A077C3F"/>
    <w:rsid w:val="7A0E5017"/>
    <w:rsid w:val="7A0F3269"/>
    <w:rsid w:val="7A143E98"/>
    <w:rsid w:val="7A146AD1"/>
    <w:rsid w:val="7A2465E9"/>
    <w:rsid w:val="7A2B42CE"/>
    <w:rsid w:val="7A3031E0"/>
    <w:rsid w:val="7A3525A4"/>
    <w:rsid w:val="7A3C7FA0"/>
    <w:rsid w:val="7A3E58FC"/>
    <w:rsid w:val="7A403426"/>
    <w:rsid w:val="7A420D8E"/>
    <w:rsid w:val="7A4508B8"/>
    <w:rsid w:val="7A6618BC"/>
    <w:rsid w:val="7A72720D"/>
    <w:rsid w:val="7A837129"/>
    <w:rsid w:val="7A9565F3"/>
    <w:rsid w:val="7A9C2623"/>
    <w:rsid w:val="7AA15E8B"/>
    <w:rsid w:val="7AA201D6"/>
    <w:rsid w:val="7AA65250"/>
    <w:rsid w:val="7AA8546C"/>
    <w:rsid w:val="7AA913CA"/>
    <w:rsid w:val="7AB94F83"/>
    <w:rsid w:val="7ABE0A59"/>
    <w:rsid w:val="7AC718BE"/>
    <w:rsid w:val="7ACA6B34"/>
    <w:rsid w:val="7AD61FD9"/>
    <w:rsid w:val="7ADF7DF4"/>
    <w:rsid w:val="7AE642F6"/>
    <w:rsid w:val="7AEA338E"/>
    <w:rsid w:val="7AEE0DA8"/>
    <w:rsid w:val="7B2227DF"/>
    <w:rsid w:val="7B286336"/>
    <w:rsid w:val="7B2C22C2"/>
    <w:rsid w:val="7B2E771F"/>
    <w:rsid w:val="7B3960C4"/>
    <w:rsid w:val="7B3A7748"/>
    <w:rsid w:val="7B4A0AB7"/>
    <w:rsid w:val="7B584A98"/>
    <w:rsid w:val="7B6501F0"/>
    <w:rsid w:val="7B700D6D"/>
    <w:rsid w:val="7B752307"/>
    <w:rsid w:val="7B8427BF"/>
    <w:rsid w:val="7B8831A9"/>
    <w:rsid w:val="7B8B3F8F"/>
    <w:rsid w:val="7B8D16E2"/>
    <w:rsid w:val="7B935673"/>
    <w:rsid w:val="7BA102E3"/>
    <w:rsid w:val="7BA93249"/>
    <w:rsid w:val="7BAC2D3A"/>
    <w:rsid w:val="7BAD5EFF"/>
    <w:rsid w:val="7BCC5F71"/>
    <w:rsid w:val="7BD209F2"/>
    <w:rsid w:val="7BD232F5"/>
    <w:rsid w:val="7BD34260"/>
    <w:rsid w:val="7BDF7589"/>
    <w:rsid w:val="7BE81FC4"/>
    <w:rsid w:val="7BED5058"/>
    <w:rsid w:val="7BFC6413"/>
    <w:rsid w:val="7BFF3346"/>
    <w:rsid w:val="7C180B2E"/>
    <w:rsid w:val="7C426869"/>
    <w:rsid w:val="7C4458A7"/>
    <w:rsid w:val="7C4D0079"/>
    <w:rsid w:val="7C5D7262"/>
    <w:rsid w:val="7C7578B3"/>
    <w:rsid w:val="7C76182A"/>
    <w:rsid w:val="7C8415C1"/>
    <w:rsid w:val="7C8E01F2"/>
    <w:rsid w:val="7C8F7D61"/>
    <w:rsid w:val="7C923CDE"/>
    <w:rsid w:val="7CA82A78"/>
    <w:rsid w:val="7CAB4D9F"/>
    <w:rsid w:val="7CB41EA6"/>
    <w:rsid w:val="7CB71996"/>
    <w:rsid w:val="7CC00420"/>
    <w:rsid w:val="7CC2297D"/>
    <w:rsid w:val="7CC44F1F"/>
    <w:rsid w:val="7CC64C94"/>
    <w:rsid w:val="7CCB3265"/>
    <w:rsid w:val="7CCC2FF6"/>
    <w:rsid w:val="7CCD2F68"/>
    <w:rsid w:val="7CCF6CE0"/>
    <w:rsid w:val="7CD10CAA"/>
    <w:rsid w:val="7CE60621"/>
    <w:rsid w:val="7CE65764"/>
    <w:rsid w:val="7CE86B30"/>
    <w:rsid w:val="7CEA1D6C"/>
    <w:rsid w:val="7CED7166"/>
    <w:rsid w:val="7CFB253F"/>
    <w:rsid w:val="7CFC072D"/>
    <w:rsid w:val="7D000001"/>
    <w:rsid w:val="7D012C11"/>
    <w:rsid w:val="7D063237"/>
    <w:rsid w:val="7D10420B"/>
    <w:rsid w:val="7D2828B7"/>
    <w:rsid w:val="7D402ECA"/>
    <w:rsid w:val="7D4E40A8"/>
    <w:rsid w:val="7D537911"/>
    <w:rsid w:val="7D576BF6"/>
    <w:rsid w:val="7D62246A"/>
    <w:rsid w:val="7D637428"/>
    <w:rsid w:val="7D761851"/>
    <w:rsid w:val="7D796C4C"/>
    <w:rsid w:val="7D7A30EF"/>
    <w:rsid w:val="7D7D16E1"/>
    <w:rsid w:val="7D831878"/>
    <w:rsid w:val="7D844B23"/>
    <w:rsid w:val="7D8C2514"/>
    <w:rsid w:val="7D8C2DC5"/>
    <w:rsid w:val="7D9341B1"/>
    <w:rsid w:val="7D937D0D"/>
    <w:rsid w:val="7D9D6C1D"/>
    <w:rsid w:val="7DB87774"/>
    <w:rsid w:val="7DBA173E"/>
    <w:rsid w:val="7DC620F9"/>
    <w:rsid w:val="7DC95073"/>
    <w:rsid w:val="7DD87E2E"/>
    <w:rsid w:val="7DD94854"/>
    <w:rsid w:val="7DE22A43"/>
    <w:rsid w:val="7DF1258C"/>
    <w:rsid w:val="7DF42098"/>
    <w:rsid w:val="7DF56751"/>
    <w:rsid w:val="7E095F24"/>
    <w:rsid w:val="7E2255A8"/>
    <w:rsid w:val="7E374FBF"/>
    <w:rsid w:val="7E384695"/>
    <w:rsid w:val="7E431733"/>
    <w:rsid w:val="7E435F80"/>
    <w:rsid w:val="7E443E02"/>
    <w:rsid w:val="7E5A082B"/>
    <w:rsid w:val="7E5F5E41"/>
    <w:rsid w:val="7E60606E"/>
    <w:rsid w:val="7E617E0B"/>
    <w:rsid w:val="7E670893"/>
    <w:rsid w:val="7E670C79"/>
    <w:rsid w:val="7E6D0694"/>
    <w:rsid w:val="7E723DC7"/>
    <w:rsid w:val="7E8108B6"/>
    <w:rsid w:val="7E837338"/>
    <w:rsid w:val="7E8521A1"/>
    <w:rsid w:val="7E991353"/>
    <w:rsid w:val="7EA374BF"/>
    <w:rsid w:val="7EAF501B"/>
    <w:rsid w:val="7ED93E46"/>
    <w:rsid w:val="7EE85B36"/>
    <w:rsid w:val="7EEF4F59"/>
    <w:rsid w:val="7EF23159"/>
    <w:rsid w:val="7EF47302"/>
    <w:rsid w:val="7EFE3F4D"/>
    <w:rsid w:val="7F076C05"/>
    <w:rsid w:val="7F08048D"/>
    <w:rsid w:val="7F08297D"/>
    <w:rsid w:val="7F0D1427"/>
    <w:rsid w:val="7F0F1291"/>
    <w:rsid w:val="7F123BB1"/>
    <w:rsid w:val="7F1629A4"/>
    <w:rsid w:val="7F182434"/>
    <w:rsid w:val="7F1A4BB7"/>
    <w:rsid w:val="7F1A5C35"/>
    <w:rsid w:val="7F1D5E4F"/>
    <w:rsid w:val="7F203823"/>
    <w:rsid w:val="7F2C666B"/>
    <w:rsid w:val="7F3472CE"/>
    <w:rsid w:val="7F382EE6"/>
    <w:rsid w:val="7F383E65"/>
    <w:rsid w:val="7F3E014D"/>
    <w:rsid w:val="7F4041DB"/>
    <w:rsid w:val="7F4514DB"/>
    <w:rsid w:val="7F58012F"/>
    <w:rsid w:val="7F5A1AA9"/>
    <w:rsid w:val="7F5E434B"/>
    <w:rsid w:val="7F62318B"/>
    <w:rsid w:val="7F744857"/>
    <w:rsid w:val="7F765B38"/>
    <w:rsid w:val="7F792F33"/>
    <w:rsid w:val="7F7F2C3F"/>
    <w:rsid w:val="7F957B36"/>
    <w:rsid w:val="7F9E2999"/>
    <w:rsid w:val="7FA93818"/>
    <w:rsid w:val="7FB04253"/>
    <w:rsid w:val="7FBF43F6"/>
    <w:rsid w:val="7FCA7066"/>
    <w:rsid w:val="7FD02626"/>
    <w:rsid w:val="7FE612DB"/>
    <w:rsid w:val="7FF75AFE"/>
    <w:rsid w:val="7FFB4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3"/>
    <w:autoRedefine/>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73"/>
    <w:autoRedefine/>
    <w:qFormat/>
    <w:uiPriority w:val="0"/>
    <w:pPr>
      <w:keepNext/>
      <w:keepLines/>
      <w:spacing w:before="260" w:after="260" w:line="413" w:lineRule="auto"/>
      <w:outlineLvl w:val="2"/>
    </w:pPr>
    <w:rPr>
      <w:b/>
      <w:bCs/>
      <w:sz w:val="32"/>
      <w:szCs w:val="32"/>
    </w:rPr>
  </w:style>
  <w:style w:type="paragraph" w:styleId="6">
    <w:name w:val="heading 4"/>
    <w:basedOn w:val="1"/>
    <w:next w:val="1"/>
    <w:link w:val="74"/>
    <w:autoRedefine/>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link w:val="75"/>
    <w:autoRedefine/>
    <w:qFormat/>
    <w:uiPriority w:val="0"/>
    <w:pPr>
      <w:adjustRightInd w:val="0"/>
      <w:spacing w:line="460" w:lineRule="exact"/>
      <w:ind w:firstLine="510"/>
      <w:jc w:val="left"/>
      <w:textAlignment w:val="baseline"/>
      <w:outlineLvl w:val="4"/>
    </w:pPr>
    <w:rPr>
      <w:kern w:val="0"/>
      <w:sz w:val="24"/>
      <w:szCs w:val="20"/>
    </w:rPr>
  </w:style>
  <w:style w:type="paragraph" w:styleId="8">
    <w:name w:val="heading 6"/>
    <w:basedOn w:val="1"/>
    <w:next w:val="1"/>
    <w:link w:val="76"/>
    <w:autoRedefine/>
    <w:qFormat/>
    <w:uiPriority w:val="0"/>
    <w:pPr>
      <w:keepNext/>
      <w:keepLines/>
      <w:spacing w:before="240" w:after="64" w:line="317" w:lineRule="auto"/>
      <w:outlineLvl w:val="5"/>
    </w:pPr>
    <w:rPr>
      <w:rFonts w:ascii="Arial" w:hAnsi="Arial" w:eastAsia="黑体"/>
      <w:b/>
      <w:bCs/>
      <w:sz w:val="24"/>
    </w:rPr>
  </w:style>
  <w:style w:type="paragraph" w:styleId="9">
    <w:name w:val="heading 7"/>
    <w:basedOn w:val="1"/>
    <w:next w:val="1"/>
    <w:link w:val="77"/>
    <w:autoRedefine/>
    <w:qFormat/>
    <w:uiPriority w:val="0"/>
    <w:pPr>
      <w:keepNext/>
      <w:keepLines/>
      <w:spacing w:before="240" w:after="64" w:line="317" w:lineRule="auto"/>
      <w:outlineLvl w:val="6"/>
    </w:pPr>
    <w:rPr>
      <w:b/>
      <w:bCs/>
      <w:sz w:val="24"/>
    </w:rPr>
  </w:style>
  <w:style w:type="paragraph" w:styleId="10">
    <w:name w:val="heading 8"/>
    <w:basedOn w:val="1"/>
    <w:next w:val="1"/>
    <w:link w:val="78"/>
    <w:autoRedefine/>
    <w:qFormat/>
    <w:uiPriority w:val="0"/>
    <w:pPr>
      <w:adjustRightInd w:val="0"/>
      <w:spacing w:line="460" w:lineRule="exact"/>
      <w:ind w:left="1021" w:hanging="284"/>
      <w:jc w:val="left"/>
      <w:textAlignment w:val="baseline"/>
      <w:outlineLvl w:val="7"/>
    </w:pPr>
    <w:rPr>
      <w:kern w:val="0"/>
      <w:sz w:val="24"/>
      <w:szCs w:val="20"/>
    </w:rPr>
  </w:style>
  <w:style w:type="paragraph" w:styleId="11">
    <w:name w:val="heading 9"/>
    <w:basedOn w:val="1"/>
    <w:next w:val="1"/>
    <w:link w:val="79"/>
    <w:autoRedefine/>
    <w:qFormat/>
    <w:uiPriority w:val="0"/>
    <w:pPr>
      <w:keepNext/>
      <w:keepLines/>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51">
    <w:name w:val="Default Paragraph Font"/>
    <w:autoRedefine/>
    <w:unhideWhenUsed/>
    <w:qFormat/>
    <w:uiPriority w:val="1"/>
  </w:style>
  <w:style w:type="table" w:default="1" w:styleId="49">
    <w:name w:val="Normal Table"/>
    <w:autoRedefine/>
    <w:unhideWhenUsed/>
    <w:qFormat/>
    <w:uiPriority w:val="99"/>
    <w:tblPr>
      <w:tblCellMar>
        <w:top w:w="0" w:type="dxa"/>
        <w:left w:w="108" w:type="dxa"/>
        <w:bottom w:w="0" w:type="dxa"/>
        <w:right w:w="108" w:type="dxa"/>
      </w:tblCellMar>
    </w:tblPr>
  </w:style>
  <w:style w:type="paragraph" w:styleId="2">
    <w:name w:val="macro"/>
    <w:link w:val="150"/>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Number 2"/>
    <w:basedOn w:val="1"/>
    <w:autoRedefine/>
    <w:qFormat/>
    <w:uiPriority w:val="0"/>
    <w:pPr>
      <w:tabs>
        <w:tab w:val="left" w:pos="780"/>
      </w:tabs>
      <w:spacing w:line="360" w:lineRule="auto"/>
      <w:ind w:left="780" w:hanging="360" w:firstLineChars="200"/>
    </w:pPr>
    <w:rPr>
      <w:sz w:val="24"/>
    </w:rPr>
  </w:style>
  <w:style w:type="paragraph" w:styleId="13">
    <w:name w:val="Note Heading"/>
    <w:basedOn w:val="1"/>
    <w:next w:val="1"/>
    <w:link w:val="187"/>
    <w:autoRedefine/>
    <w:qFormat/>
    <w:uiPriority w:val="0"/>
    <w:pPr>
      <w:widowControl/>
      <w:jc w:val="center"/>
    </w:pPr>
    <w:rPr>
      <w:rFonts w:asciiTheme="minorHAnsi" w:hAnsiTheme="minorHAnsi" w:eastAsiaTheme="minorEastAsia" w:cstheme="minorBidi"/>
      <w:sz w:val="24"/>
      <w:szCs w:val="22"/>
      <w:lang w:eastAsia="en-US" w:bidi="en-US"/>
    </w:rPr>
  </w:style>
  <w:style w:type="paragraph" w:styleId="14">
    <w:name w:val="List Number"/>
    <w:basedOn w:val="1"/>
    <w:autoRedefine/>
    <w:qFormat/>
    <w:uiPriority w:val="0"/>
    <w:pPr>
      <w:tabs>
        <w:tab w:val="left" w:pos="360"/>
      </w:tabs>
      <w:contextualSpacing/>
    </w:pPr>
  </w:style>
  <w:style w:type="paragraph" w:styleId="15">
    <w:name w:val="Normal Indent"/>
    <w:basedOn w:val="1"/>
    <w:next w:val="16"/>
    <w:link w:val="121"/>
    <w:autoRedefine/>
    <w:qFormat/>
    <w:uiPriority w:val="0"/>
    <w:pPr>
      <w:ind w:firstLine="420" w:firstLineChars="200"/>
    </w:pPr>
    <w:rPr>
      <w:rFonts w:asciiTheme="minorHAnsi" w:hAnsiTheme="minorHAnsi" w:eastAsiaTheme="minorEastAsia" w:cstheme="minorBidi"/>
    </w:rPr>
  </w:style>
  <w:style w:type="paragraph" w:customStyle="1" w:styleId="16">
    <w:name w:val="Default"/>
    <w:basedOn w:val="17"/>
    <w:autoRedefine/>
    <w:qFormat/>
    <w:uiPriority w:val="0"/>
    <w:pPr>
      <w:autoSpaceDE w:val="0"/>
      <w:autoSpaceDN w:val="0"/>
    </w:pPr>
    <w:rPr>
      <w:rFonts w:hAnsi="Times New Roman" w:cs="宋体"/>
      <w:color w:val="000000"/>
      <w:sz w:val="24"/>
      <w:szCs w:val="24"/>
    </w:rPr>
  </w:style>
  <w:style w:type="paragraph" w:customStyle="1" w:styleId="17">
    <w:name w:val="纯文本1"/>
    <w:basedOn w:val="1"/>
    <w:autoRedefine/>
    <w:qFormat/>
    <w:uiPriority w:val="0"/>
    <w:pPr>
      <w:adjustRightInd w:val="0"/>
      <w:textAlignment w:val="baseline"/>
    </w:pPr>
    <w:rPr>
      <w:rFonts w:ascii="宋体" w:hAnsi="Courier New"/>
      <w:sz w:val="28"/>
      <w:szCs w:val="20"/>
    </w:rPr>
  </w:style>
  <w:style w:type="paragraph" w:styleId="18">
    <w:name w:val="caption"/>
    <w:next w:val="1"/>
    <w:link w:val="120"/>
    <w:autoRedefine/>
    <w:qFormat/>
    <w:uiPriority w:val="0"/>
    <w:pPr>
      <w:jc w:val="center"/>
    </w:pPr>
    <w:rPr>
      <w:rFonts w:asciiTheme="minorHAnsi" w:hAnsiTheme="minorHAnsi" w:eastAsiaTheme="minorEastAsia" w:cstheme="minorBidi"/>
      <w:b/>
      <w:kern w:val="2"/>
      <w:sz w:val="21"/>
      <w:szCs w:val="22"/>
      <w:lang w:val="en-US" w:eastAsia="zh-CN" w:bidi="ar-SA"/>
    </w:rPr>
  </w:style>
  <w:style w:type="paragraph" w:styleId="19">
    <w:name w:val="index 5"/>
    <w:basedOn w:val="1"/>
    <w:next w:val="1"/>
    <w:autoRedefine/>
    <w:qFormat/>
    <w:uiPriority w:val="0"/>
    <w:pPr>
      <w:ind w:left="800" w:leftChars="800"/>
    </w:pPr>
  </w:style>
  <w:style w:type="paragraph" w:styleId="20">
    <w:name w:val="Document Map"/>
    <w:basedOn w:val="1"/>
    <w:link w:val="201"/>
    <w:autoRedefine/>
    <w:qFormat/>
    <w:uiPriority w:val="0"/>
    <w:pPr>
      <w:shd w:val="clear" w:color="auto" w:fill="000080"/>
    </w:pPr>
    <w:rPr>
      <w:rFonts w:asciiTheme="minorHAnsi" w:hAnsiTheme="minorHAnsi" w:eastAsiaTheme="minorEastAsia" w:cstheme="minorBidi"/>
    </w:rPr>
  </w:style>
  <w:style w:type="paragraph" w:styleId="21">
    <w:name w:val="toa heading"/>
    <w:basedOn w:val="1"/>
    <w:next w:val="1"/>
    <w:autoRedefine/>
    <w:qFormat/>
    <w:uiPriority w:val="0"/>
    <w:pPr>
      <w:spacing w:before="120"/>
    </w:pPr>
    <w:rPr>
      <w:rFonts w:ascii="Arial" w:hAnsi="Arial" w:cs="Arial"/>
      <w:sz w:val="24"/>
    </w:rPr>
  </w:style>
  <w:style w:type="paragraph" w:styleId="22">
    <w:name w:val="annotation text"/>
    <w:basedOn w:val="1"/>
    <w:link w:val="98"/>
    <w:autoRedefine/>
    <w:qFormat/>
    <w:uiPriority w:val="99"/>
    <w:pPr>
      <w:jc w:val="left"/>
    </w:pPr>
    <w:rPr>
      <w:kern w:val="0"/>
      <w:sz w:val="20"/>
    </w:rPr>
  </w:style>
  <w:style w:type="paragraph" w:styleId="23">
    <w:name w:val="Body Text"/>
    <w:basedOn w:val="1"/>
    <w:next w:val="24"/>
    <w:link w:val="90"/>
    <w:autoRedefine/>
    <w:qFormat/>
    <w:uiPriority w:val="0"/>
    <w:pPr>
      <w:widowControl/>
      <w:snapToGrid w:val="0"/>
      <w:spacing w:before="60" w:after="160" w:line="259" w:lineRule="auto"/>
      <w:ind w:right="113"/>
    </w:pPr>
    <w:rPr>
      <w:kern w:val="0"/>
      <w:sz w:val="18"/>
      <w:szCs w:val="18"/>
    </w:rPr>
  </w:style>
  <w:style w:type="paragraph" w:customStyle="1" w:styleId="2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25">
    <w:name w:val="Body Text Indent"/>
    <w:basedOn w:val="1"/>
    <w:next w:val="26"/>
    <w:link w:val="100"/>
    <w:autoRedefine/>
    <w:qFormat/>
    <w:uiPriority w:val="0"/>
    <w:pPr>
      <w:spacing w:after="120"/>
      <w:ind w:left="420" w:leftChars="200"/>
    </w:pPr>
  </w:style>
  <w:style w:type="paragraph" w:styleId="26">
    <w:name w:val="Body Text Indent 2"/>
    <w:basedOn w:val="1"/>
    <w:next w:val="1"/>
    <w:link w:val="132"/>
    <w:autoRedefine/>
    <w:qFormat/>
    <w:uiPriority w:val="0"/>
    <w:pPr>
      <w:spacing w:line="400" w:lineRule="exact"/>
      <w:ind w:firstLine="570"/>
    </w:pPr>
    <w:rPr>
      <w:rFonts w:asciiTheme="minorHAnsi" w:hAnsiTheme="minorHAnsi" w:eastAsiaTheme="minorEastAsia" w:cstheme="minorBidi"/>
      <w:color w:val="000000"/>
      <w:sz w:val="28"/>
    </w:rPr>
  </w:style>
  <w:style w:type="paragraph" w:styleId="27">
    <w:name w:val="Block Text"/>
    <w:basedOn w:val="1"/>
    <w:autoRedefine/>
    <w:qFormat/>
    <w:uiPriority w:val="0"/>
    <w:pPr>
      <w:spacing w:after="120"/>
      <w:ind w:left="1440" w:leftChars="700" w:right="1440" w:rightChars="700"/>
    </w:pPr>
  </w:style>
  <w:style w:type="paragraph" w:styleId="28">
    <w:name w:val="index 4"/>
    <w:basedOn w:val="1"/>
    <w:next w:val="1"/>
    <w:autoRedefine/>
    <w:qFormat/>
    <w:uiPriority w:val="0"/>
    <w:pPr>
      <w:ind w:left="600" w:leftChars="600"/>
    </w:pPr>
  </w:style>
  <w:style w:type="paragraph" w:styleId="29">
    <w:name w:val="toc 5"/>
    <w:basedOn w:val="1"/>
    <w:next w:val="1"/>
    <w:autoRedefine/>
    <w:unhideWhenUsed/>
    <w:qFormat/>
    <w:uiPriority w:val="39"/>
    <w:pPr>
      <w:ind w:left="1680" w:leftChars="800"/>
    </w:pPr>
  </w:style>
  <w:style w:type="paragraph" w:styleId="30">
    <w:name w:val="toc 3"/>
    <w:basedOn w:val="1"/>
    <w:next w:val="1"/>
    <w:autoRedefine/>
    <w:qFormat/>
    <w:uiPriority w:val="39"/>
    <w:pPr>
      <w:ind w:left="840" w:leftChars="400"/>
    </w:pPr>
  </w:style>
  <w:style w:type="paragraph" w:styleId="31">
    <w:name w:val="Plain Text"/>
    <w:basedOn w:val="1"/>
    <w:next w:val="16"/>
    <w:link w:val="135"/>
    <w:autoRedefine/>
    <w:qFormat/>
    <w:uiPriority w:val="0"/>
    <w:pPr>
      <w:autoSpaceDE w:val="0"/>
      <w:autoSpaceDN w:val="0"/>
      <w:adjustRightInd w:val="0"/>
      <w:snapToGrid w:val="0"/>
      <w:ind w:firstLine="567"/>
      <w:outlineLvl w:val="8"/>
    </w:pPr>
    <w:rPr>
      <w:rFonts w:ascii="宋体" w:hAnsi="Courier New" w:eastAsiaTheme="minorEastAsia" w:cstheme="minorBidi"/>
      <w:spacing w:val="15"/>
      <w:szCs w:val="22"/>
    </w:rPr>
  </w:style>
  <w:style w:type="paragraph" w:styleId="32">
    <w:name w:val="Date"/>
    <w:basedOn w:val="1"/>
    <w:next w:val="1"/>
    <w:link w:val="92"/>
    <w:autoRedefine/>
    <w:qFormat/>
    <w:uiPriority w:val="0"/>
    <w:pPr>
      <w:ind w:left="100" w:leftChars="2500"/>
    </w:pPr>
    <w:rPr>
      <w:kern w:val="0"/>
      <w:sz w:val="20"/>
    </w:rPr>
  </w:style>
  <w:style w:type="paragraph" w:styleId="33">
    <w:name w:val="Balloon Text"/>
    <w:basedOn w:val="1"/>
    <w:link w:val="97"/>
    <w:autoRedefine/>
    <w:qFormat/>
    <w:uiPriority w:val="0"/>
    <w:rPr>
      <w:sz w:val="18"/>
      <w:szCs w:val="18"/>
    </w:rPr>
  </w:style>
  <w:style w:type="paragraph" w:styleId="34">
    <w:name w:val="footer"/>
    <w:basedOn w:val="1"/>
    <w:link w:val="89"/>
    <w:autoRedefine/>
    <w:qFormat/>
    <w:uiPriority w:val="99"/>
    <w:pPr>
      <w:tabs>
        <w:tab w:val="center" w:pos="4153"/>
        <w:tab w:val="right" w:pos="8306"/>
      </w:tabs>
      <w:snapToGrid w:val="0"/>
      <w:jc w:val="left"/>
    </w:pPr>
    <w:rPr>
      <w:sz w:val="18"/>
      <w:szCs w:val="18"/>
    </w:rPr>
  </w:style>
  <w:style w:type="paragraph" w:styleId="35">
    <w:name w:val="header"/>
    <w:basedOn w:val="1"/>
    <w:next w:val="36"/>
    <w:link w:val="88"/>
    <w:autoRedefine/>
    <w:qFormat/>
    <w:uiPriority w:val="99"/>
    <w:pPr>
      <w:pBdr>
        <w:bottom w:val="single" w:color="auto" w:sz="6" w:space="1"/>
      </w:pBdr>
      <w:tabs>
        <w:tab w:val="center" w:pos="4153"/>
        <w:tab w:val="right" w:pos="8306"/>
      </w:tabs>
      <w:snapToGrid w:val="0"/>
      <w:jc w:val="center"/>
    </w:pPr>
    <w:rPr>
      <w:sz w:val="18"/>
      <w:szCs w:val="18"/>
    </w:rPr>
  </w:style>
  <w:style w:type="paragraph" w:customStyle="1" w:styleId="36">
    <w:name w:val="正文1"/>
    <w:basedOn w:val="1"/>
    <w:autoRedefine/>
    <w:qFormat/>
    <w:uiPriority w:val="0"/>
    <w:pPr>
      <w:spacing w:line="360" w:lineRule="auto"/>
      <w:ind w:firstLine="200" w:firstLineChars="200"/>
    </w:pPr>
    <w:rPr>
      <w:rFonts w:ascii="Times New Roman" w:hAnsi="Times New Roman"/>
      <w:kern w:val="0"/>
      <w:sz w:val="24"/>
      <w:szCs w:val="28"/>
    </w:rPr>
  </w:style>
  <w:style w:type="paragraph" w:styleId="37">
    <w:name w:val="toc 1"/>
    <w:basedOn w:val="1"/>
    <w:next w:val="1"/>
    <w:autoRedefine/>
    <w:qFormat/>
    <w:uiPriority w:val="39"/>
  </w:style>
  <w:style w:type="paragraph" w:styleId="38">
    <w:name w:val="List"/>
    <w:basedOn w:val="1"/>
    <w:autoRedefine/>
    <w:qFormat/>
    <w:uiPriority w:val="0"/>
    <w:pPr>
      <w:ind w:left="200" w:hanging="200" w:hangingChars="200"/>
      <w:contextualSpacing/>
    </w:pPr>
  </w:style>
  <w:style w:type="paragraph" w:styleId="39">
    <w:name w:val="footnote text"/>
    <w:basedOn w:val="1"/>
    <w:link w:val="198"/>
    <w:autoRedefine/>
    <w:qFormat/>
    <w:uiPriority w:val="0"/>
    <w:pPr>
      <w:snapToGrid w:val="0"/>
      <w:jc w:val="left"/>
    </w:pPr>
    <w:rPr>
      <w:rFonts w:asciiTheme="minorHAnsi" w:hAnsiTheme="minorHAnsi" w:eastAsiaTheme="minorEastAsia" w:cstheme="minorBidi"/>
      <w:sz w:val="18"/>
      <w:szCs w:val="18"/>
    </w:rPr>
  </w:style>
  <w:style w:type="paragraph" w:styleId="40">
    <w:name w:val="Body Text Indent 3"/>
    <w:basedOn w:val="1"/>
    <w:link w:val="140"/>
    <w:autoRedefine/>
    <w:qFormat/>
    <w:uiPriority w:val="0"/>
    <w:pPr>
      <w:spacing w:after="120"/>
      <w:ind w:left="420" w:leftChars="200"/>
    </w:pPr>
    <w:rPr>
      <w:sz w:val="16"/>
      <w:szCs w:val="16"/>
    </w:rPr>
  </w:style>
  <w:style w:type="paragraph" w:styleId="41">
    <w:name w:val="toc 2"/>
    <w:basedOn w:val="1"/>
    <w:next w:val="1"/>
    <w:autoRedefine/>
    <w:qFormat/>
    <w:uiPriority w:val="39"/>
    <w:pPr>
      <w:tabs>
        <w:tab w:val="right" w:leader="dot" w:pos="8948"/>
      </w:tabs>
      <w:adjustRightInd w:val="0"/>
      <w:spacing w:line="600" w:lineRule="exact"/>
      <w:ind w:firstLine="1680" w:firstLineChars="700"/>
      <w:textAlignment w:val="baseline"/>
    </w:pPr>
    <w:rPr>
      <w:rFonts w:ascii="宋体" w:hAnsi="宋体" w:cs="Arial"/>
      <w:b/>
      <w:kern w:val="0"/>
      <w:sz w:val="24"/>
    </w:rPr>
  </w:style>
  <w:style w:type="paragraph" w:styleId="42">
    <w:name w:val="Body Text 2"/>
    <w:basedOn w:val="1"/>
    <w:link w:val="136"/>
    <w:autoRedefine/>
    <w:qFormat/>
    <w:uiPriority w:val="0"/>
    <w:pPr>
      <w:spacing w:after="120" w:line="480" w:lineRule="auto"/>
    </w:pPr>
    <w:rPr>
      <w:rFonts w:asciiTheme="minorHAnsi" w:hAnsiTheme="minorHAnsi" w:eastAsiaTheme="minorEastAsia" w:cstheme="minorBidi"/>
    </w:rPr>
  </w:style>
  <w:style w:type="paragraph" w:styleId="43">
    <w:name w:val="Normal (Web)"/>
    <w:basedOn w:val="1"/>
    <w:link w:val="91"/>
    <w:autoRedefine/>
    <w:qFormat/>
    <w:uiPriority w:val="0"/>
    <w:pPr>
      <w:widowControl/>
      <w:spacing w:before="100" w:beforeAutospacing="1" w:after="100" w:afterAutospacing="1"/>
      <w:jc w:val="left"/>
    </w:pPr>
    <w:rPr>
      <w:rFonts w:ascii="宋体" w:hAnsi="宋体"/>
      <w:kern w:val="0"/>
      <w:sz w:val="24"/>
    </w:rPr>
  </w:style>
  <w:style w:type="paragraph" w:styleId="44">
    <w:name w:val="index 1"/>
    <w:basedOn w:val="1"/>
    <w:next w:val="1"/>
    <w:autoRedefine/>
    <w:qFormat/>
    <w:uiPriority w:val="0"/>
    <w:pPr>
      <w:spacing w:line="360" w:lineRule="exact"/>
      <w:jc w:val="center"/>
    </w:pPr>
    <w:rPr>
      <w:rFonts w:ascii="宋体" w:hAnsi="宋体"/>
      <w:szCs w:val="21"/>
    </w:rPr>
  </w:style>
  <w:style w:type="paragraph" w:styleId="45">
    <w:name w:val="Title"/>
    <w:basedOn w:val="1"/>
    <w:link w:val="114"/>
    <w:autoRedefine/>
    <w:qFormat/>
    <w:uiPriority w:val="0"/>
    <w:pPr>
      <w:spacing w:before="240" w:after="60"/>
      <w:jc w:val="center"/>
      <w:outlineLvl w:val="0"/>
    </w:pPr>
    <w:rPr>
      <w:rFonts w:ascii="Cambria" w:hAnsi="Cambria" w:eastAsiaTheme="minorEastAsia" w:cstheme="minorBidi"/>
      <w:b/>
      <w:bCs/>
      <w:sz w:val="32"/>
      <w:szCs w:val="32"/>
    </w:rPr>
  </w:style>
  <w:style w:type="paragraph" w:styleId="46">
    <w:name w:val="annotation subject"/>
    <w:basedOn w:val="22"/>
    <w:next w:val="22"/>
    <w:link w:val="101"/>
    <w:autoRedefine/>
    <w:qFormat/>
    <w:uiPriority w:val="0"/>
    <w:rPr>
      <w:b/>
      <w:bCs/>
    </w:rPr>
  </w:style>
  <w:style w:type="paragraph" w:styleId="47">
    <w:name w:val="Body Text First Indent"/>
    <w:basedOn w:val="23"/>
    <w:link w:val="138"/>
    <w:autoRedefine/>
    <w:qFormat/>
    <w:uiPriority w:val="0"/>
    <w:pPr>
      <w:widowControl w:val="0"/>
      <w:snapToGrid/>
      <w:spacing w:before="0" w:after="0" w:line="460" w:lineRule="exact"/>
      <w:ind w:right="0" w:firstLine="420" w:firstLineChars="100"/>
      <w:jc w:val="center"/>
    </w:pPr>
    <w:rPr>
      <w:color w:val="000000"/>
      <w:w w:val="90"/>
      <w:kern w:val="2"/>
      <w:sz w:val="24"/>
      <w:szCs w:val="20"/>
    </w:rPr>
  </w:style>
  <w:style w:type="paragraph" w:styleId="48">
    <w:name w:val="Body Text First Indent 2"/>
    <w:basedOn w:val="25"/>
    <w:next w:val="1"/>
    <w:autoRedefine/>
    <w:unhideWhenUsed/>
    <w:qFormat/>
    <w:uiPriority w:val="99"/>
    <w:pPr>
      <w:ind w:firstLine="420" w:firstLineChars="200"/>
    </w:pPr>
  </w:style>
  <w:style w:type="table" w:styleId="50">
    <w:name w:val="Table Grid"/>
    <w:basedOn w:val="4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autoRedefine/>
    <w:qFormat/>
    <w:uiPriority w:val="22"/>
    <w:rPr>
      <w:b/>
      <w:bCs/>
    </w:rPr>
  </w:style>
  <w:style w:type="character" w:styleId="53">
    <w:name w:val="page number"/>
    <w:basedOn w:val="51"/>
    <w:autoRedefine/>
    <w:qFormat/>
    <w:uiPriority w:val="0"/>
  </w:style>
  <w:style w:type="character" w:styleId="54">
    <w:name w:val="FollowedHyperlink"/>
    <w:autoRedefine/>
    <w:qFormat/>
    <w:uiPriority w:val="0"/>
    <w:rPr>
      <w:color w:val="800080"/>
      <w:u w:val="single"/>
    </w:rPr>
  </w:style>
  <w:style w:type="character" w:styleId="55">
    <w:name w:val="Emphasis"/>
    <w:basedOn w:val="51"/>
    <w:autoRedefine/>
    <w:qFormat/>
    <w:uiPriority w:val="20"/>
    <w:rPr>
      <w:i/>
    </w:rPr>
  </w:style>
  <w:style w:type="character" w:styleId="56">
    <w:name w:val="HTML Typewriter"/>
    <w:autoRedefine/>
    <w:qFormat/>
    <w:uiPriority w:val="0"/>
    <w:rPr>
      <w:rFonts w:ascii="宋体" w:hAnsi="宋体" w:eastAsia="宋体" w:cs="宋体"/>
      <w:sz w:val="24"/>
      <w:szCs w:val="24"/>
    </w:rPr>
  </w:style>
  <w:style w:type="character" w:styleId="57">
    <w:name w:val="Hyperlink"/>
    <w:autoRedefine/>
    <w:qFormat/>
    <w:uiPriority w:val="99"/>
    <w:rPr>
      <w:color w:val="0000FF"/>
      <w:u w:val="single"/>
    </w:rPr>
  </w:style>
  <w:style w:type="character" w:styleId="58">
    <w:name w:val="annotation reference"/>
    <w:autoRedefine/>
    <w:qFormat/>
    <w:uiPriority w:val="0"/>
    <w:rPr>
      <w:sz w:val="21"/>
    </w:rPr>
  </w:style>
  <w:style w:type="character" w:styleId="59">
    <w:name w:val="footnote reference"/>
    <w:autoRedefine/>
    <w:qFormat/>
    <w:uiPriority w:val="0"/>
    <w:rPr>
      <w:vertAlign w:val="superscript"/>
    </w:rPr>
  </w:style>
  <w:style w:type="paragraph" w:customStyle="1" w:styleId="60">
    <w:name w:val="正文（标准）"/>
    <w:basedOn w:val="1"/>
    <w:next w:val="1"/>
    <w:autoRedefine/>
    <w:semiHidden/>
    <w:qFormat/>
    <w:uiPriority w:val="0"/>
    <w:pPr>
      <w:snapToGrid w:val="0"/>
      <w:spacing w:line="360" w:lineRule="auto"/>
      <w:ind w:firstLine="525"/>
    </w:pPr>
    <w:rPr>
      <w:rFonts w:ascii="宋体" w:hAnsi="宋体"/>
      <w:color w:val="000000"/>
      <w:kern w:val="0"/>
      <w:sz w:val="20"/>
    </w:rPr>
  </w:style>
  <w:style w:type="character" w:customStyle="1" w:styleId="61">
    <w:name w:val="标题 4 Char"/>
    <w:autoRedefine/>
    <w:qFormat/>
    <w:uiPriority w:val="0"/>
    <w:rPr>
      <w:rFonts w:ascii="Calibri Light" w:hAnsi="Calibri Light" w:eastAsia="宋体" w:cs="Times New Roman"/>
      <w:b/>
      <w:bCs/>
      <w:kern w:val="2"/>
      <w:sz w:val="28"/>
      <w:szCs w:val="28"/>
    </w:rPr>
  </w:style>
  <w:style w:type="paragraph" w:customStyle="1" w:styleId="62">
    <w:name w:val="正文格式"/>
    <w:basedOn w:val="47"/>
    <w:autoRedefine/>
    <w:qFormat/>
    <w:uiPriority w:val="0"/>
    <w:pPr>
      <w:spacing w:line="360" w:lineRule="auto"/>
      <w:ind w:firstLine="482"/>
    </w:pPr>
    <w:rPr>
      <w:rFonts w:ascii="宋体" w:cs="宋体"/>
      <w:sz w:val="24"/>
    </w:rPr>
  </w:style>
  <w:style w:type="paragraph" w:customStyle="1" w:styleId="63">
    <w:name w:val="表格格式"/>
    <w:basedOn w:val="1"/>
    <w:next w:val="1"/>
    <w:autoRedefine/>
    <w:qFormat/>
    <w:uiPriority w:val="0"/>
  </w:style>
  <w:style w:type="paragraph" w:customStyle="1" w:styleId="64">
    <w:name w:val="表格文字"/>
    <w:basedOn w:val="1"/>
    <w:link w:val="119"/>
    <w:autoRedefine/>
    <w:qFormat/>
    <w:uiPriority w:val="0"/>
    <w:pPr>
      <w:spacing w:line="360" w:lineRule="auto"/>
      <w:jc w:val="center"/>
    </w:pPr>
    <w:rPr>
      <w:rFonts w:asciiTheme="minorHAnsi" w:hAnsiTheme="minorHAnsi" w:eastAsiaTheme="minorEastAsia" w:cstheme="minorBidi"/>
      <w:sz w:val="24"/>
      <w:szCs w:val="22"/>
    </w:rPr>
  </w:style>
  <w:style w:type="character" w:customStyle="1" w:styleId="65">
    <w:name w:val="标题 2 字符"/>
    <w:basedOn w:val="51"/>
    <w:autoRedefine/>
    <w:semiHidden/>
    <w:qFormat/>
    <w:uiPriority w:val="0"/>
    <w:rPr>
      <w:rFonts w:asciiTheme="majorHAnsi" w:hAnsiTheme="majorHAnsi" w:eastAsiaTheme="majorEastAsia" w:cstheme="majorBidi"/>
      <w:b/>
      <w:bCs/>
      <w:sz w:val="32"/>
      <w:szCs w:val="32"/>
    </w:rPr>
  </w:style>
  <w:style w:type="paragraph" w:customStyle="1" w:styleId="66">
    <w:name w:val="图表目录1"/>
    <w:basedOn w:val="67"/>
    <w:next w:val="1"/>
    <w:autoRedefine/>
    <w:qFormat/>
    <w:uiPriority w:val="0"/>
    <w:pPr>
      <w:spacing w:line="300" w:lineRule="auto"/>
      <w:ind w:left="840" w:hanging="420"/>
    </w:pPr>
    <w:rPr>
      <w:rFonts w:ascii="Arial" w:hAnsi="Arial"/>
    </w:rPr>
  </w:style>
  <w:style w:type="paragraph" w:customStyle="1" w:styleId="67">
    <w:name w:val="正文 New New New New New New New New New New New New New New New New New New New New New New New New New New New New New New New New New New New New New New New New New New New New New New New New New New New New New New New New New New New New New New Ne"/>
    <w:next w:val="6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样式 标题 1 + 四号 段前: 0 磅 段后: 0 磅 行距: 1.5 倍行距"/>
    <w:basedOn w:val="69"/>
    <w:next w:val="70"/>
    <w:autoRedefine/>
    <w:qFormat/>
    <w:uiPriority w:val="0"/>
    <w:pPr>
      <w:snapToGrid w:val="0"/>
      <w:spacing w:line="360" w:lineRule="auto"/>
      <w:ind w:firstLine="200" w:firstLineChars="200"/>
      <w:jc w:val="center"/>
    </w:pPr>
    <w:rPr>
      <w:sz w:val="28"/>
    </w:rPr>
  </w:style>
  <w:style w:type="paragraph" w:customStyle="1" w:styleId="69">
    <w:name w:val="1正文"/>
    <w:basedOn w:val="1"/>
    <w:qFormat/>
    <w:uiPriority w:val="0"/>
    <w:pPr>
      <w:spacing w:line="500" w:lineRule="exact"/>
      <w:ind w:firstLine="588" w:firstLineChars="196"/>
    </w:pPr>
    <w:rPr>
      <w:rFonts w:eastAsia="楷体_GB2312"/>
      <w:sz w:val="30"/>
      <w:szCs w:val="30"/>
    </w:rPr>
  </w:style>
  <w:style w:type="paragraph" w:customStyle="1" w:styleId="70">
    <w:name w:val="文本正文"/>
    <w:basedOn w:val="1"/>
    <w:autoRedefine/>
    <w:qFormat/>
    <w:uiPriority w:val="0"/>
    <w:pPr>
      <w:snapToGrid w:val="0"/>
      <w:spacing w:line="360" w:lineRule="auto"/>
      <w:ind w:firstLine="510"/>
      <w:jc w:val="left"/>
    </w:pPr>
    <w:rPr>
      <w:spacing w:val="4"/>
      <w:kern w:val="24"/>
      <w:lang w:val="zh-CN"/>
    </w:rPr>
  </w:style>
  <w:style w:type="paragraph" w:customStyle="1" w:styleId="71">
    <w:name w:val="报告表正文"/>
    <w:basedOn w:val="1"/>
    <w:autoRedefine/>
    <w:qFormat/>
    <w:uiPriority w:val="0"/>
    <w:pPr>
      <w:adjustRightInd w:val="0"/>
      <w:spacing w:line="312" w:lineRule="auto"/>
      <w:ind w:left="113" w:right="113" w:firstLine="482"/>
      <w:jc w:val="left"/>
      <w:textAlignment w:val="baseline"/>
    </w:pPr>
    <w:rPr>
      <w:kern w:val="0"/>
      <w:sz w:val="24"/>
    </w:rPr>
  </w:style>
  <w:style w:type="character" w:customStyle="1" w:styleId="72">
    <w:name w:val="标题 1 Char"/>
    <w:basedOn w:val="51"/>
    <w:link w:val="3"/>
    <w:autoRedefine/>
    <w:qFormat/>
    <w:uiPriority w:val="0"/>
    <w:rPr>
      <w:rFonts w:ascii="Times New Roman" w:hAnsi="Times New Roman" w:eastAsia="黑体" w:cs="Times New Roman"/>
      <w:b/>
      <w:bCs/>
      <w:color w:val="000000"/>
      <w:kern w:val="44"/>
      <w:sz w:val="30"/>
      <w:szCs w:val="30"/>
    </w:rPr>
  </w:style>
  <w:style w:type="character" w:customStyle="1" w:styleId="73">
    <w:name w:val="标题 3 Char"/>
    <w:basedOn w:val="51"/>
    <w:link w:val="5"/>
    <w:autoRedefine/>
    <w:qFormat/>
    <w:uiPriority w:val="0"/>
    <w:rPr>
      <w:rFonts w:ascii="Times New Roman" w:hAnsi="Times New Roman" w:eastAsia="宋体" w:cs="Times New Roman"/>
      <w:b/>
      <w:bCs/>
      <w:sz w:val="32"/>
      <w:szCs w:val="32"/>
    </w:rPr>
  </w:style>
  <w:style w:type="character" w:customStyle="1" w:styleId="74">
    <w:name w:val="标题 4 Char1"/>
    <w:basedOn w:val="51"/>
    <w:link w:val="6"/>
    <w:autoRedefine/>
    <w:qFormat/>
    <w:uiPriority w:val="0"/>
    <w:rPr>
      <w:rFonts w:ascii="Cambria" w:hAnsi="Cambria" w:eastAsia="宋体" w:cs="Times New Roman"/>
      <w:b/>
      <w:bCs/>
      <w:sz w:val="28"/>
      <w:szCs w:val="28"/>
    </w:rPr>
  </w:style>
  <w:style w:type="character" w:customStyle="1" w:styleId="75">
    <w:name w:val="标题 5 Char"/>
    <w:basedOn w:val="51"/>
    <w:link w:val="7"/>
    <w:autoRedefine/>
    <w:qFormat/>
    <w:uiPriority w:val="0"/>
    <w:rPr>
      <w:rFonts w:ascii="Times New Roman" w:hAnsi="Times New Roman" w:eastAsia="宋体" w:cs="Times New Roman"/>
      <w:kern w:val="0"/>
      <w:sz w:val="24"/>
      <w:szCs w:val="20"/>
    </w:rPr>
  </w:style>
  <w:style w:type="character" w:customStyle="1" w:styleId="76">
    <w:name w:val="标题 6 Char"/>
    <w:basedOn w:val="51"/>
    <w:link w:val="8"/>
    <w:autoRedefine/>
    <w:qFormat/>
    <w:uiPriority w:val="0"/>
    <w:rPr>
      <w:rFonts w:ascii="Arial" w:hAnsi="Arial" w:eastAsia="黑体" w:cs="Times New Roman"/>
      <w:b/>
      <w:bCs/>
      <w:sz w:val="24"/>
      <w:szCs w:val="24"/>
    </w:rPr>
  </w:style>
  <w:style w:type="character" w:customStyle="1" w:styleId="77">
    <w:name w:val="标题 7 Char"/>
    <w:basedOn w:val="51"/>
    <w:link w:val="9"/>
    <w:autoRedefine/>
    <w:qFormat/>
    <w:uiPriority w:val="0"/>
    <w:rPr>
      <w:rFonts w:ascii="Times New Roman" w:hAnsi="Times New Roman" w:eastAsia="宋体" w:cs="Times New Roman"/>
      <w:b/>
      <w:bCs/>
      <w:sz w:val="24"/>
      <w:szCs w:val="24"/>
    </w:rPr>
  </w:style>
  <w:style w:type="character" w:customStyle="1" w:styleId="78">
    <w:name w:val="标题 8 Char"/>
    <w:basedOn w:val="51"/>
    <w:link w:val="10"/>
    <w:autoRedefine/>
    <w:qFormat/>
    <w:uiPriority w:val="0"/>
    <w:rPr>
      <w:rFonts w:ascii="Times New Roman" w:hAnsi="Times New Roman" w:eastAsia="宋体" w:cs="Times New Roman"/>
      <w:kern w:val="0"/>
      <w:sz w:val="24"/>
      <w:szCs w:val="20"/>
    </w:rPr>
  </w:style>
  <w:style w:type="character" w:customStyle="1" w:styleId="79">
    <w:name w:val="标题 9 Char"/>
    <w:basedOn w:val="51"/>
    <w:link w:val="11"/>
    <w:autoRedefine/>
    <w:qFormat/>
    <w:uiPriority w:val="0"/>
    <w:rPr>
      <w:rFonts w:ascii="Arial" w:hAnsi="Arial" w:eastAsia="黑体" w:cs="Times New Roman"/>
      <w:kern w:val="0"/>
      <w:sz w:val="24"/>
      <w:szCs w:val="20"/>
    </w:rPr>
  </w:style>
  <w:style w:type="character" w:customStyle="1" w:styleId="80">
    <w:name w:val="批注文字 字符"/>
    <w:basedOn w:val="51"/>
    <w:autoRedefine/>
    <w:qFormat/>
    <w:uiPriority w:val="99"/>
    <w:rPr>
      <w:rFonts w:ascii="Times New Roman" w:hAnsi="Times New Roman" w:eastAsia="宋体" w:cs="Times New Roman"/>
      <w:szCs w:val="24"/>
    </w:rPr>
  </w:style>
  <w:style w:type="character" w:customStyle="1" w:styleId="81">
    <w:name w:val="正文文本 字符"/>
    <w:basedOn w:val="51"/>
    <w:autoRedefine/>
    <w:qFormat/>
    <w:uiPriority w:val="0"/>
    <w:rPr>
      <w:rFonts w:ascii="Times New Roman" w:hAnsi="Times New Roman" w:eastAsia="宋体" w:cs="Times New Roman"/>
      <w:szCs w:val="24"/>
    </w:rPr>
  </w:style>
  <w:style w:type="character" w:customStyle="1" w:styleId="82">
    <w:name w:val="正文文本缩进 字符"/>
    <w:basedOn w:val="51"/>
    <w:autoRedefine/>
    <w:qFormat/>
    <w:uiPriority w:val="0"/>
    <w:rPr>
      <w:rFonts w:ascii="Times New Roman" w:hAnsi="Times New Roman" w:eastAsia="宋体" w:cs="Times New Roman"/>
      <w:szCs w:val="24"/>
    </w:rPr>
  </w:style>
  <w:style w:type="character" w:customStyle="1" w:styleId="83">
    <w:name w:val="日期 字符"/>
    <w:basedOn w:val="51"/>
    <w:autoRedefine/>
    <w:qFormat/>
    <w:uiPriority w:val="0"/>
    <w:rPr>
      <w:rFonts w:ascii="Times New Roman" w:hAnsi="Times New Roman" w:eastAsia="宋体" w:cs="Times New Roman"/>
      <w:szCs w:val="24"/>
    </w:rPr>
  </w:style>
  <w:style w:type="character" w:customStyle="1" w:styleId="84">
    <w:name w:val="批注框文本 字符"/>
    <w:basedOn w:val="51"/>
    <w:autoRedefine/>
    <w:qFormat/>
    <w:uiPriority w:val="0"/>
    <w:rPr>
      <w:rFonts w:ascii="Times New Roman" w:hAnsi="Times New Roman" w:eastAsia="宋体" w:cs="Times New Roman"/>
      <w:sz w:val="18"/>
      <w:szCs w:val="18"/>
    </w:rPr>
  </w:style>
  <w:style w:type="character" w:customStyle="1" w:styleId="85">
    <w:name w:val="页脚 字符"/>
    <w:basedOn w:val="51"/>
    <w:autoRedefine/>
    <w:qFormat/>
    <w:uiPriority w:val="99"/>
    <w:rPr>
      <w:rFonts w:ascii="Times New Roman" w:hAnsi="Times New Roman" w:eastAsia="宋体" w:cs="Times New Roman"/>
      <w:sz w:val="18"/>
      <w:szCs w:val="18"/>
    </w:rPr>
  </w:style>
  <w:style w:type="character" w:customStyle="1" w:styleId="86">
    <w:name w:val="页眉 字符"/>
    <w:basedOn w:val="51"/>
    <w:autoRedefine/>
    <w:qFormat/>
    <w:uiPriority w:val="99"/>
    <w:rPr>
      <w:rFonts w:ascii="Times New Roman" w:hAnsi="Times New Roman" w:eastAsia="宋体" w:cs="Times New Roman"/>
      <w:sz w:val="18"/>
      <w:szCs w:val="18"/>
    </w:rPr>
  </w:style>
  <w:style w:type="character" w:customStyle="1" w:styleId="87">
    <w:name w:val="批注主题 字符"/>
    <w:basedOn w:val="80"/>
    <w:autoRedefine/>
    <w:qFormat/>
    <w:uiPriority w:val="0"/>
    <w:rPr>
      <w:rFonts w:ascii="Times New Roman" w:hAnsi="Times New Roman" w:eastAsia="宋体" w:cs="Times New Roman"/>
      <w:b/>
      <w:bCs/>
      <w:szCs w:val="24"/>
    </w:rPr>
  </w:style>
  <w:style w:type="character" w:customStyle="1" w:styleId="88">
    <w:name w:val="页眉 Char"/>
    <w:link w:val="35"/>
    <w:autoRedefine/>
    <w:qFormat/>
    <w:locked/>
    <w:uiPriority w:val="99"/>
    <w:rPr>
      <w:rFonts w:ascii="Times New Roman" w:hAnsi="Times New Roman" w:eastAsia="宋体" w:cs="Times New Roman"/>
      <w:sz w:val="18"/>
      <w:szCs w:val="18"/>
    </w:rPr>
  </w:style>
  <w:style w:type="character" w:customStyle="1" w:styleId="89">
    <w:name w:val="页脚 Char"/>
    <w:link w:val="34"/>
    <w:autoRedefine/>
    <w:qFormat/>
    <w:locked/>
    <w:uiPriority w:val="99"/>
    <w:rPr>
      <w:rFonts w:ascii="Times New Roman" w:hAnsi="Times New Roman" w:eastAsia="宋体" w:cs="Times New Roman"/>
      <w:sz w:val="18"/>
      <w:szCs w:val="18"/>
    </w:rPr>
  </w:style>
  <w:style w:type="character" w:customStyle="1" w:styleId="90">
    <w:name w:val="正文文本 Char"/>
    <w:link w:val="23"/>
    <w:autoRedefine/>
    <w:qFormat/>
    <w:locked/>
    <w:uiPriority w:val="0"/>
    <w:rPr>
      <w:rFonts w:ascii="Times New Roman" w:hAnsi="Times New Roman" w:eastAsia="宋体" w:cs="Times New Roman"/>
      <w:kern w:val="0"/>
      <w:sz w:val="18"/>
      <w:szCs w:val="18"/>
    </w:rPr>
  </w:style>
  <w:style w:type="character" w:customStyle="1" w:styleId="91">
    <w:name w:val="普通(网站) Char1"/>
    <w:link w:val="43"/>
    <w:autoRedefine/>
    <w:qFormat/>
    <w:locked/>
    <w:uiPriority w:val="99"/>
    <w:rPr>
      <w:rFonts w:ascii="宋体" w:hAnsi="宋体" w:eastAsia="宋体" w:cs="Times New Roman"/>
      <w:kern w:val="0"/>
      <w:sz w:val="24"/>
      <w:szCs w:val="24"/>
    </w:rPr>
  </w:style>
  <w:style w:type="character" w:customStyle="1" w:styleId="92">
    <w:name w:val="日期 Char"/>
    <w:link w:val="32"/>
    <w:autoRedefine/>
    <w:qFormat/>
    <w:locked/>
    <w:uiPriority w:val="0"/>
    <w:rPr>
      <w:rFonts w:ascii="Times New Roman" w:hAnsi="Times New Roman" w:eastAsia="宋体" w:cs="Times New Roman"/>
      <w:kern w:val="0"/>
      <w:sz w:val="20"/>
      <w:szCs w:val="24"/>
    </w:rPr>
  </w:style>
  <w:style w:type="character" w:customStyle="1" w:styleId="93">
    <w:name w:val="正文文本 字符1"/>
    <w:autoRedefine/>
    <w:semiHidden/>
    <w:qFormat/>
    <w:uiPriority w:val="0"/>
    <w:rPr>
      <w:rFonts w:ascii="Times New Roman" w:hAnsi="Times New Roman" w:eastAsia="宋体" w:cs="Times New Roman"/>
      <w:sz w:val="24"/>
      <w:szCs w:val="24"/>
    </w:rPr>
  </w:style>
  <w:style w:type="paragraph" w:customStyle="1" w:styleId="9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95">
    <w:name w:val="表格 Char"/>
    <w:link w:val="96"/>
    <w:autoRedefine/>
    <w:qFormat/>
    <w:locked/>
    <w:uiPriority w:val="0"/>
    <w:rPr>
      <w:rFonts w:ascii="宋体"/>
    </w:rPr>
  </w:style>
  <w:style w:type="paragraph" w:customStyle="1" w:styleId="96">
    <w:name w:val="表格"/>
    <w:basedOn w:val="1"/>
    <w:next w:val="1"/>
    <w:link w:val="95"/>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97">
    <w:name w:val="批注框文本 Char"/>
    <w:link w:val="33"/>
    <w:autoRedefine/>
    <w:qFormat/>
    <w:locked/>
    <w:uiPriority w:val="0"/>
    <w:rPr>
      <w:rFonts w:ascii="Times New Roman" w:hAnsi="Times New Roman" w:eastAsia="宋体" w:cs="Times New Roman"/>
      <w:sz w:val="18"/>
      <w:szCs w:val="18"/>
    </w:rPr>
  </w:style>
  <w:style w:type="character" w:customStyle="1" w:styleId="98">
    <w:name w:val="批注文字 Char"/>
    <w:link w:val="22"/>
    <w:autoRedefine/>
    <w:qFormat/>
    <w:locked/>
    <w:uiPriority w:val="99"/>
    <w:rPr>
      <w:rFonts w:ascii="Times New Roman" w:hAnsi="Times New Roman" w:eastAsia="宋体" w:cs="Times New Roman"/>
      <w:kern w:val="0"/>
      <w:sz w:val="20"/>
      <w:szCs w:val="24"/>
    </w:rPr>
  </w:style>
  <w:style w:type="character" w:customStyle="1" w:styleId="99">
    <w:name w:val="批注文字 字符1"/>
    <w:autoRedefine/>
    <w:semiHidden/>
    <w:qFormat/>
    <w:uiPriority w:val="0"/>
    <w:rPr>
      <w:rFonts w:ascii="Times New Roman" w:hAnsi="Times New Roman" w:eastAsia="宋体" w:cs="Times New Roman"/>
      <w:sz w:val="24"/>
      <w:szCs w:val="24"/>
    </w:rPr>
  </w:style>
  <w:style w:type="character" w:customStyle="1" w:styleId="100">
    <w:name w:val="正文文本缩进 Char"/>
    <w:link w:val="25"/>
    <w:autoRedefine/>
    <w:qFormat/>
    <w:locked/>
    <w:uiPriority w:val="0"/>
    <w:rPr>
      <w:rFonts w:ascii="Times New Roman" w:hAnsi="Times New Roman" w:eastAsia="宋体" w:cs="Times New Roman"/>
      <w:szCs w:val="24"/>
    </w:rPr>
  </w:style>
  <w:style w:type="character" w:customStyle="1" w:styleId="101">
    <w:name w:val="批注主题 Char"/>
    <w:link w:val="46"/>
    <w:autoRedefine/>
    <w:qFormat/>
    <w:locked/>
    <w:uiPriority w:val="0"/>
    <w:rPr>
      <w:rFonts w:ascii="Times New Roman" w:hAnsi="Times New Roman" w:eastAsia="宋体" w:cs="Times New Roman"/>
      <w:b/>
      <w:bCs/>
      <w:kern w:val="0"/>
      <w:sz w:val="20"/>
      <w:szCs w:val="24"/>
    </w:rPr>
  </w:style>
  <w:style w:type="character" w:customStyle="1" w:styleId="102">
    <w:name w:val="普通(网站) Char"/>
    <w:autoRedefine/>
    <w:qFormat/>
    <w:locked/>
    <w:uiPriority w:val="0"/>
    <w:rPr>
      <w:rFonts w:ascii="宋体" w:hAnsi="宋体" w:eastAsia="宋体"/>
      <w:sz w:val="24"/>
    </w:rPr>
  </w:style>
  <w:style w:type="character" w:customStyle="1" w:styleId="103">
    <w:name w:val="标题 2 Char"/>
    <w:link w:val="4"/>
    <w:autoRedefine/>
    <w:qFormat/>
    <w:uiPriority w:val="0"/>
    <w:rPr>
      <w:rFonts w:ascii="Arial" w:hAnsi="Arial" w:eastAsia="黑体" w:cs="Times New Roman"/>
      <w:b/>
      <w:bCs/>
      <w:sz w:val="32"/>
      <w:szCs w:val="32"/>
    </w:rPr>
  </w:style>
  <w:style w:type="character" w:customStyle="1" w:styleId="104">
    <w:name w:val="报告书正文 Char Char Char"/>
    <w:link w:val="105"/>
    <w:autoRedefine/>
    <w:qFormat/>
    <w:uiPriority w:val="0"/>
    <w:rPr>
      <w:color w:val="000000"/>
      <w:sz w:val="24"/>
      <w:szCs w:val="24"/>
    </w:rPr>
  </w:style>
  <w:style w:type="paragraph" w:customStyle="1" w:styleId="105">
    <w:name w:val="报告书正文 Char Char"/>
    <w:basedOn w:val="1"/>
    <w:link w:val="104"/>
    <w:autoRedefine/>
    <w:qFormat/>
    <w:uiPriority w:val="0"/>
    <w:pPr>
      <w:spacing w:line="300" w:lineRule="auto"/>
      <w:ind w:firstLine="480" w:firstLineChars="200"/>
    </w:pPr>
    <w:rPr>
      <w:rFonts w:asciiTheme="minorHAnsi" w:hAnsiTheme="minorHAnsi" w:eastAsiaTheme="minorEastAsia" w:cstheme="minorBidi"/>
      <w:color w:val="000000"/>
      <w:sz w:val="24"/>
    </w:rPr>
  </w:style>
  <w:style w:type="character" w:customStyle="1" w:styleId="106">
    <w:name w:val="表中文字 Char"/>
    <w:link w:val="107"/>
    <w:autoRedefine/>
    <w:qFormat/>
    <w:uiPriority w:val="0"/>
    <w:rPr>
      <w:sz w:val="24"/>
    </w:rPr>
  </w:style>
  <w:style w:type="paragraph" w:customStyle="1" w:styleId="107">
    <w:name w:val="表中文字"/>
    <w:basedOn w:val="1"/>
    <w:link w:val="106"/>
    <w:autoRedefine/>
    <w:qFormat/>
    <w:uiPriority w:val="0"/>
    <w:pPr>
      <w:adjustRightInd w:val="0"/>
      <w:snapToGrid w:val="0"/>
      <w:spacing w:line="240" w:lineRule="atLeast"/>
      <w:jc w:val="center"/>
    </w:pPr>
    <w:rPr>
      <w:rFonts w:asciiTheme="minorHAnsi" w:hAnsiTheme="minorHAnsi" w:eastAsiaTheme="minorEastAsia" w:cstheme="minorBidi"/>
      <w:sz w:val="24"/>
      <w:szCs w:val="22"/>
    </w:rPr>
  </w:style>
  <w:style w:type="character" w:customStyle="1" w:styleId="108">
    <w:name w:val="正文(首行缩进) Char"/>
    <w:link w:val="109"/>
    <w:autoRedefine/>
    <w:qFormat/>
    <w:uiPriority w:val="0"/>
    <w:rPr>
      <w:rFonts w:ascii="宋体" w:hAnsi="宋体"/>
      <w:color w:val="FF0000"/>
      <w:spacing w:val="-8"/>
      <w:kern w:val="24"/>
      <w:sz w:val="28"/>
      <w:szCs w:val="28"/>
    </w:rPr>
  </w:style>
  <w:style w:type="paragraph" w:customStyle="1" w:styleId="109">
    <w:name w:val="正文(首行缩进)"/>
    <w:basedOn w:val="1"/>
    <w:link w:val="108"/>
    <w:autoRedefine/>
    <w:qFormat/>
    <w:uiPriority w:val="0"/>
    <w:pPr>
      <w:tabs>
        <w:tab w:val="center" w:pos="9911"/>
      </w:tabs>
      <w:spacing w:line="360" w:lineRule="auto"/>
      <w:ind w:right="210" w:rightChars="100" w:firstLine="517" w:firstLineChars="196"/>
    </w:pPr>
    <w:rPr>
      <w:rFonts w:ascii="宋体" w:hAnsi="宋体" w:eastAsiaTheme="minorEastAsia" w:cstheme="minorBidi"/>
      <w:color w:val="FF0000"/>
      <w:spacing w:val="-8"/>
      <w:kern w:val="24"/>
      <w:sz w:val="28"/>
      <w:szCs w:val="28"/>
    </w:rPr>
  </w:style>
  <w:style w:type="character" w:customStyle="1" w:styleId="110">
    <w:name w:val="b3"/>
    <w:autoRedefine/>
    <w:qFormat/>
    <w:uiPriority w:val="0"/>
    <w:rPr>
      <w:rFonts w:hint="default" w:ascii="ˎ̥" w:hAnsi="ˎ̥"/>
      <w:color w:val="000000"/>
      <w:sz w:val="20"/>
      <w:szCs w:val="20"/>
    </w:rPr>
  </w:style>
  <w:style w:type="character" w:customStyle="1" w:styleId="111">
    <w:name w:val="表格 Char Char"/>
    <w:autoRedefine/>
    <w:qFormat/>
    <w:uiPriority w:val="0"/>
    <w:rPr>
      <w:kern w:val="2"/>
      <w:sz w:val="21"/>
    </w:rPr>
  </w:style>
  <w:style w:type="character" w:customStyle="1" w:styleId="112">
    <w:name w:val="报告书正文 Char"/>
    <w:link w:val="113"/>
    <w:autoRedefine/>
    <w:qFormat/>
    <w:uiPriority w:val="0"/>
    <w:rPr>
      <w:rFonts w:ascii="宋体" w:hAnsi="宋体" w:cs="Arial"/>
      <w:bCs/>
      <w:sz w:val="24"/>
      <w:szCs w:val="24"/>
    </w:rPr>
  </w:style>
  <w:style w:type="paragraph" w:customStyle="1" w:styleId="113">
    <w:name w:val="报告书正文"/>
    <w:basedOn w:val="26"/>
    <w:link w:val="112"/>
    <w:autoRedefine/>
    <w:qFormat/>
    <w:uiPriority w:val="0"/>
    <w:pPr>
      <w:tabs>
        <w:tab w:val="left" w:pos="6300"/>
      </w:tabs>
      <w:adjustRightInd w:val="0"/>
      <w:snapToGrid w:val="0"/>
      <w:spacing w:line="480" w:lineRule="exact"/>
      <w:ind w:firstLine="480" w:firstLineChars="200"/>
    </w:pPr>
    <w:rPr>
      <w:rFonts w:ascii="宋体" w:hAnsi="宋体" w:cs="Arial"/>
      <w:bCs/>
      <w:color w:val="auto"/>
      <w:sz w:val="24"/>
    </w:rPr>
  </w:style>
  <w:style w:type="character" w:customStyle="1" w:styleId="114">
    <w:name w:val="标题 Char1"/>
    <w:link w:val="45"/>
    <w:autoRedefine/>
    <w:qFormat/>
    <w:uiPriority w:val="0"/>
    <w:rPr>
      <w:rFonts w:ascii="Cambria" w:hAnsi="Cambria"/>
      <w:b/>
      <w:bCs/>
      <w:sz w:val="32"/>
      <w:szCs w:val="32"/>
    </w:rPr>
  </w:style>
  <w:style w:type="character" w:customStyle="1" w:styleId="115">
    <w:name w:val="正文缩进 Char1"/>
    <w:autoRedefine/>
    <w:qFormat/>
    <w:uiPriority w:val="0"/>
    <w:rPr>
      <w:kern w:val="2"/>
      <w:sz w:val="24"/>
    </w:rPr>
  </w:style>
  <w:style w:type="character" w:customStyle="1" w:styleId="116">
    <w:name w:val="图表 Char"/>
    <w:link w:val="117"/>
    <w:autoRedefine/>
    <w:qFormat/>
    <w:uiPriority w:val="0"/>
  </w:style>
  <w:style w:type="paragraph" w:customStyle="1" w:styleId="117">
    <w:name w:val="图表"/>
    <w:basedOn w:val="1"/>
    <w:link w:val="116"/>
    <w:autoRedefine/>
    <w:qFormat/>
    <w:uiPriority w:val="0"/>
    <w:pPr>
      <w:adjustRightInd w:val="0"/>
      <w:snapToGrid w:val="0"/>
      <w:spacing w:line="280" w:lineRule="exact"/>
      <w:jc w:val="center"/>
    </w:pPr>
    <w:rPr>
      <w:rFonts w:asciiTheme="minorHAnsi" w:hAnsiTheme="minorHAnsi" w:eastAsiaTheme="minorEastAsia" w:cstheme="minorBidi"/>
      <w:szCs w:val="22"/>
    </w:rPr>
  </w:style>
  <w:style w:type="character" w:customStyle="1" w:styleId="118">
    <w:name w:val="contents"/>
    <w:basedOn w:val="51"/>
    <w:autoRedefine/>
    <w:qFormat/>
    <w:uiPriority w:val="0"/>
  </w:style>
  <w:style w:type="character" w:customStyle="1" w:styleId="119">
    <w:name w:val="表格文字 Char"/>
    <w:link w:val="64"/>
    <w:autoRedefine/>
    <w:qFormat/>
    <w:uiPriority w:val="0"/>
    <w:rPr>
      <w:sz w:val="24"/>
    </w:rPr>
  </w:style>
  <w:style w:type="character" w:customStyle="1" w:styleId="120">
    <w:name w:val="题注 Char"/>
    <w:link w:val="18"/>
    <w:autoRedefine/>
    <w:qFormat/>
    <w:locked/>
    <w:uiPriority w:val="0"/>
    <w:rPr>
      <w:b/>
    </w:rPr>
  </w:style>
  <w:style w:type="character" w:customStyle="1" w:styleId="121">
    <w:name w:val="正文缩进 Char"/>
    <w:link w:val="15"/>
    <w:autoRedefine/>
    <w:qFormat/>
    <w:uiPriority w:val="0"/>
    <w:rPr>
      <w:szCs w:val="24"/>
    </w:rPr>
  </w:style>
  <w:style w:type="character" w:customStyle="1" w:styleId="122">
    <w:name w:val="style71"/>
    <w:autoRedefine/>
    <w:qFormat/>
    <w:uiPriority w:val="0"/>
    <w:rPr>
      <w:rFonts w:hint="eastAsia" w:ascii="宋体" w:hAnsi="宋体" w:eastAsia="宋体"/>
      <w:sz w:val="21"/>
      <w:szCs w:val="21"/>
      <w:u w:val="none"/>
    </w:rPr>
  </w:style>
  <w:style w:type="character" w:customStyle="1" w:styleId="123">
    <w:name w:val="style6"/>
    <w:basedOn w:val="51"/>
    <w:autoRedefine/>
    <w:qFormat/>
    <w:uiPriority w:val="0"/>
  </w:style>
  <w:style w:type="character" w:customStyle="1" w:styleId="124">
    <w:name w:val="标题许来慧 Char Char"/>
    <w:link w:val="125"/>
    <w:autoRedefine/>
    <w:qFormat/>
    <w:uiPriority w:val="0"/>
    <w:rPr>
      <w:b/>
      <w:szCs w:val="21"/>
    </w:rPr>
  </w:style>
  <w:style w:type="paragraph" w:customStyle="1" w:styleId="125">
    <w:name w:val="标题许来慧"/>
    <w:basedOn w:val="1"/>
    <w:link w:val="124"/>
    <w:autoRedefine/>
    <w:qFormat/>
    <w:uiPriority w:val="0"/>
    <w:pPr>
      <w:ind w:firstLine="420" w:firstLineChars="200"/>
    </w:pPr>
    <w:rPr>
      <w:rFonts w:asciiTheme="minorHAnsi" w:hAnsiTheme="minorHAnsi" w:eastAsiaTheme="minorEastAsia" w:cstheme="minorBidi"/>
      <w:b/>
      <w:szCs w:val="21"/>
    </w:rPr>
  </w:style>
  <w:style w:type="character" w:customStyle="1" w:styleId="126">
    <w:name w:val="无间隔 字符"/>
    <w:link w:val="127"/>
    <w:autoRedefine/>
    <w:qFormat/>
    <w:uiPriority w:val="0"/>
  </w:style>
  <w:style w:type="paragraph" w:customStyle="1" w:styleId="127">
    <w:name w:val="无间隔1"/>
    <w:link w:val="126"/>
    <w:autoRedefine/>
    <w:qFormat/>
    <w:uiPriority w:val="0"/>
    <w:pPr>
      <w:widowControl w:val="0"/>
      <w:adjustRightInd w:val="0"/>
      <w:snapToGrid w:val="0"/>
      <w:jc w:val="center"/>
    </w:pPr>
    <w:rPr>
      <w:rFonts w:asciiTheme="minorHAnsi" w:hAnsiTheme="minorHAnsi" w:eastAsiaTheme="minorEastAsia" w:cstheme="minorBidi"/>
      <w:kern w:val="2"/>
      <w:sz w:val="21"/>
      <w:szCs w:val="22"/>
      <w:lang w:val="en-US" w:eastAsia="zh-CN" w:bidi="ar-SA"/>
    </w:rPr>
  </w:style>
  <w:style w:type="character" w:customStyle="1" w:styleId="128">
    <w:name w:val="样式 正文1 + 首行缩进:  2 字符 Char3"/>
    <w:link w:val="129"/>
    <w:autoRedefine/>
    <w:qFormat/>
    <w:uiPriority w:val="0"/>
    <w:rPr>
      <w:rFonts w:ascii="宋体"/>
      <w:sz w:val="24"/>
    </w:rPr>
  </w:style>
  <w:style w:type="paragraph" w:customStyle="1" w:styleId="129">
    <w:name w:val="样式 正文1 + 首行缩进:  2 字符"/>
    <w:basedOn w:val="1"/>
    <w:link w:val="128"/>
    <w:autoRedefine/>
    <w:qFormat/>
    <w:uiPriority w:val="0"/>
    <w:pPr>
      <w:spacing w:line="360" w:lineRule="auto"/>
      <w:ind w:firstLine="200" w:firstLineChars="200"/>
    </w:pPr>
    <w:rPr>
      <w:rFonts w:ascii="宋体" w:hAnsiTheme="minorHAnsi" w:eastAsiaTheme="minorEastAsia" w:cstheme="minorBidi"/>
      <w:sz w:val="24"/>
      <w:szCs w:val="22"/>
    </w:rPr>
  </w:style>
  <w:style w:type="character" w:customStyle="1" w:styleId="130">
    <w:name w:val="表格标题饭饭 Char"/>
    <w:link w:val="131"/>
    <w:autoRedefine/>
    <w:qFormat/>
    <w:uiPriority w:val="0"/>
    <w:rPr>
      <w:b/>
      <w:color w:val="000000"/>
      <w:kern w:val="24"/>
      <w:szCs w:val="24"/>
    </w:rPr>
  </w:style>
  <w:style w:type="paragraph" w:customStyle="1" w:styleId="131">
    <w:name w:val="表格标题饭饭"/>
    <w:basedOn w:val="1"/>
    <w:link w:val="130"/>
    <w:autoRedefine/>
    <w:qFormat/>
    <w:uiPriority w:val="0"/>
    <w:pPr>
      <w:jc w:val="center"/>
    </w:pPr>
    <w:rPr>
      <w:rFonts w:asciiTheme="minorHAnsi" w:hAnsiTheme="minorHAnsi" w:eastAsiaTheme="minorEastAsia" w:cstheme="minorBidi"/>
      <w:b/>
      <w:color w:val="000000"/>
      <w:kern w:val="24"/>
    </w:rPr>
  </w:style>
  <w:style w:type="character" w:customStyle="1" w:styleId="132">
    <w:name w:val="正文文本缩进 2 Char1"/>
    <w:link w:val="26"/>
    <w:autoRedefine/>
    <w:qFormat/>
    <w:uiPriority w:val="0"/>
    <w:rPr>
      <w:color w:val="000000"/>
      <w:sz w:val="28"/>
      <w:szCs w:val="24"/>
    </w:rPr>
  </w:style>
  <w:style w:type="character" w:customStyle="1" w:styleId="133">
    <w:name w:val="表头 Char"/>
    <w:link w:val="134"/>
    <w:autoRedefine/>
    <w:qFormat/>
    <w:uiPriority w:val="0"/>
    <w:rPr>
      <w:b/>
      <w:sz w:val="28"/>
    </w:rPr>
  </w:style>
  <w:style w:type="paragraph" w:customStyle="1" w:styleId="134">
    <w:name w:val="表头"/>
    <w:basedOn w:val="15"/>
    <w:next w:val="1"/>
    <w:link w:val="133"/>
    <w:autoRedefine/>
    <w:qFormat/>
    <w:uiPriority w:val="0"/>
    <w:pPr>
      <w:tabs>
        <w:tab w:val="left" w:pos="360"/>
        <w:tab w:val="left" w:pos="1620"/>
      </w:tabs>
      <w:adjustRightInd w:val="0"/>
      <w:snapToGrid w:val="0"/>
      <w:spacing w:before="120" w:line="520" w:lineRule="atLeast"/>
      <w:jc w:val="center"/>
    </w:pPr>
    <w:rPr>
      <w:rFonts w:asciiTheme="minorHAnsi" w:hAnsiTheme="minorHAnsi" w:eastAsiaTheme="minorEastAsia" w:cstheme="minorBidi"/>
      <w:b/>
      <w:sz w:val="28"/>
      <w:szCs w:val="22"/>
    </w:rPr>
  </w:style>
  <w:style w:type="character" w:customStyle="1" w:styleId="135">
    <w:name w:val="纯文本 Char1"/>
    <w:link w:val="31"/>
    <w:autoRedefine/>
    <w:qFormat/>
    <w:uiPriority w:val="0"/>
    <w:rPr>
      <w:rFonts w:ascii="宋体" w:hAnsi="Courier New"/>
      <w:spacing w:val="15"/>
    </w:rPr>
  </w:style>
  <w:style w:type="character" w:customStyle="1" w:styleId="136">
    <w:name w:val="正文文本 2 Char1"/>
    <w:link w:val="42"/>
    <w:autoRedefine/>
    <w:qFormat/>
    <w:uiPriority w:val="0"/>
    <w:rPr>
      <w:szCs w:val="24"/>
    </w:rPr>
  </w:style>
  <w:style w:type="character" w:customStyle="1" w:styleId="137">
    <w:name w:val="正文首行缩进 字符"/>
    <w:basedOn w:val="81"/>
    <w:autoRedefine/>
    <w:semiHidden/>
    <w:qFormat/>
    <w:uiPriority w:val="99"/>
    <w:rPr>
      <w:rFonts w:ascii="Times New Roman" w:hAnsi="Times New Roman" w:eastAsia="宋体" w:cs="Times New Roman"/>
      <w:szCs w:val="24"/>
    </w:rPr>
  </w:style>
  <w:style w:type="character" w:customStyle="1" w:styleId="138">
    <w:name w:val="正文首行缩进 Char"/>
    <w:link w:val="47"/>
    <w:autoRedefine/>
    <w:qFormat/>
    <w:uiPriority w:val="0"/>
    <w:rPr>
      <w:rFonts w:ascii="Times New Roman" w:hAnsi="Times New Roman" w:eastAsia="宋体" w:cs="Times New Roman"/>
      <w:color w:val="000000"/>
      <w:w w:val="90"/>
      <w:sz w:val="24"/>
      <w:szCs w:val="20"/>
    </w:rPr>
  </w:style>
  <w:style w:type="character" w:customStyle="1" w:styleId="139">
    <w:name w:val="正文文本缩进 3 字符"/>
    <w:basedOn w:val="51"/>
    <w:autoRedefine/>
    <w:qFormat/>
    <w:uiPriority w:val="0"/>
    <w:rPr>
      <w:rFonts w:ascii="Times New Roman" w:hAnsi="Times New Roman" w:eastAsia="宋体" w:cs="Times New Roman"/>
      <w:sz w:val="16"/>
      <w:szCs w:val="16"/>
    </w:rPr>
  </w:style>
  <w:style w:type="character" w:customStyle="1" w:styleId="140">
    <w:name w:val="正文文本缩进 3 Char"/>
    <w:link w:val="40"/>
    <w:autoRedefine/>
    <w:qFormat/>
    <w:uiPriority w:val="0"/>
    <w:rPr>
      <w:rFonts w:ascii="Times New Roman" w:hAnsi="Times New Roman" w:eastAsia="宋体" w:cs="Times New Roman"/>
      <w:sz w:val="16"/>
      <w:szCs w:val="16"/>
    </w:rPr>
  </w:style>
  <w:style w:type="character" w:customStyle="1" w:styleId="141">
    <w:name w:val="纯文本 字符1"/>
    <w:basedOn w:val="51"/>
    <w:autoRedefine/>
    <w:qFormat/>
    <w:uiPriority w:val="0"/>
    <w:rPr>
      <w:rFonts w:hAnsi="Courier New" w:cs="Courier New" w:asciiTheme="minorEastAsia"/>
      <w:szCs w:val="24"/>
    </w:rPr>
  </w:style>
  <w:style w:type="character" w:customStyle="1" w:styleId="142">
    <w:name w:val="纯文本 Char"/>
    <w:autoRedefine/>
    <w:qFormat/>
    <w:uiPriority w:val="0"/>
    <w:rPr>
      <w:rFonts w:ascii="宋体" w:hAnsi="Courier New" w:cs="Courier New"/>
      <w:kern w:val="2"/>
      <w:sz w:val="21"/>
      <w:szCs w:val="21"/>
    </w:rPr>
  </w:style>
  <w:style w:type="character" w:customStyle="1" w:styleId="143">
    <w:name w:val="标题 字符1"/>
    <w:basedOn w:val="51"/>
    <w:autoRedefine/>
    <w:qFormat/>
    <w:uiPriority w:val="10"/>
    <w:rPr>
      <w:rFonts w:asciiTheme="majorHAnsi" w:hAnsiTheme="majorHAnsi" w:eastAsiaTheme="majorEastAsia" w:cstheme="majorBidi"/>
      <w:b/>
      <w:bCs/>
      <w:sz w:val="32"/>
      <w:szCs w:val="32"/>
    </w:rPr>
  </w:style>
  <w:style w:type="character" w:customStyle="1" w:styleId="144">
    <w:name w:val="标题 Char"/>
    <w:autoRedefine/>
    <w:qFormat/>
    <w:uiPriority w:val="0"/>
    <w:rPr>
      <w:rFonts w:ascii="Calibri Light" w:hAnsi="Calibri Light" w:cs="Times New Roman"/>
      <w:b/>
      <w:bCs/>
      <w:kern w:val="2"/>
      <w:sz w:val="32"/>
      <w:szCs w:val="32"/>
    </w:rPr>
  </w:style>
  <w:style w:type="character" w:customStyle="1" w:styleId="145">
    <w:name w:val="正文文本缩进 2 字符1"/>
    <w:basedOn w:val="51"/>
    <w:autoRedefine/>
    <w:semiHidden/>
    <w:qFormat/>
    <w:uiPriority w:val="99"/>
    <w:rPr>
      <w:rFonts w:ascii="Times New Roman" w:hAnsi="Times New Roman" w:eastAsia="宋体" w:cs="Times New Roman"/>
      <w:szCs w:val="24"/>
    </w:rPr>
  </w:style>
  <w:style w:type="character" w:customStyle="1" w:styleId="146">
    <w:name w:val="正文文本缩进 2 Char"/>
    <w:autoRedefine/>
    <w:qFormat/>
    <w:uiPriority w:val="0"/>
    <w:rPr>
      <w:kern w:val="2"/>
      <w:sz w:val="21"/>
      <w:szCs w:val="24"/>
    </w:rPr>
  </w:style>
  <w:style w:type="character" w:customStyle="1" w:styleId="147">
    <w:name w:val="正文文本 2 字符1"/>
    <w:basedOn w:val="51"/>
    <w:autoRedefine/>
    <w:semiHidden/>
    <w:qFormat/>
    <w:uiPriority w:val="99"/>
    <w:rPr>
      <w:rFonts w:ascii="Times New Roman" w:hAnsi="Times New Roman" w:eastAsia="宋体" w:cs="Times New Roman"/>
      <w:szCs w:val="24"/>
    </w:rPr>
  </w:style>
  <w:style w:type="character" w:customStyle="1" w:styleId="148">
    <w:name w:val="正文文本 2 Char"/>
    <w:autoRedefine/>
    <w:qFormat/>
    <w:uiPriority w:val="0"/>
    <w:rPr>
      <w:kern w:val="2"/>
      <w:sz w:val="21"/>
      <w:szCs w:val="24"/>
    </w:rPr>
  </w:style>
  <w:style w:type="character" w:customStyle="1" w:styleId="149">
    <w:name w:val="宏文本 字符"/>
    <w:basedOn w:val="51"/>
    <w:autoRedefine/>
    <w:semiHidden/>
    <w:qFormat/>
    <w:uiPriority w:val="99"/>
    <w:rPr>
      <w:rFonts w:ascii="Courier New" w:hAnsi="Courier New" w:eastAsia="宋体" w:cs="Courier New"/>
      <w:sz w:val="24"/>
      <w:szCs w:val="24"/>
    </w:rPr>
  </w:style>
  <w:style w:type="character" w:customStyle="1" w:styleId="150">
    <w:name w:val="宏文本 Char"/>
    <w:link w:val="2"/>
    <w:autoRedefine/>
    <w:qFormat/>
    <w:uiPriority w:val="0"/>
    <w:rPr>
      <w:rFonts w:ascii="Courier New" w:hAnsi="Courier New" w:eastAsia="宋体" w:cs="Courier New"/>
      <w:sz w:val="24"/>
      <w:szCs w:val="24"/>
    </w:rPr>
  </w:style>
  <w:style w:type="paragraph" w:customStyle="1" w:styleId="151">
    <w:name w:val="表头1"/>
    <w:basedOn w:val="1"/>
    <w:next w:val="1"/>
    <w:autoRedefine/>
    <w:qFormat/>
    <w:uiPriority w:val="0"/>
    <w:pPr>
      <w:spacing w:line="360" w:lineRule="auto"/>
      <w:jc w:val="center"/>
    </w:pPr>
    <w:rPr>
      <w:b/>
      <w:color w:val="000000"/>
      <w:sz w:val="24"/>
    </w:rPr>
  </w:style>
  <w:style w:type="paragraph" w:customStyle="1" w:styleId="152">
    <w:name w:val="Char"/>
    <w:basedOn w:val="1"/>
    <w:autoRedefine/>
    <w:qFormat/>
    <w:uiPriority w:val="0"/>
    <w:rPr>
      <w:szCs w:val="20"/>
    </w:rPr>
  </w:style>
  <w:style w:type="paragraph" w:customStyle="1" w:styleId="153">
    <w:name w:val="表格3"/>
    <w:basedOn w:val="1"/>
    <w:autoRedefine/>
    <w:qFormat/>
    <w:uiPriority w:val="0"/>
    <w:pPr>
      <w:spacing w:line="320" w:lineRule="exact"/>
      <w:jc w:val="center"/>
    </w:pPr>
    <w:rPr>
      <w:rFonts w:cs="宋体"/>
      <w:sz w:val="18"/>
      <w:szCs w:val="20"/>
    </w:rPr>
  </w:style>
  <w:style w:type="paragraph" w:customStyle="1" w:styleId="154">
    <w:name w:val="xl31"/>
    <w:basedOn w:val="1"/>
    <w:autoRedefine/>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55">
    <w:name w:val="表格2"/>
    <w:basedOn w:val="1"/>
    <w:autoRedefine/>
    <w:qFormat/>
    <w:uiPriority w:val="0"/>
    <w:pPr>
      <w:spacing w:line="400" w:lineRule="exact"/>
      <w:jc w:val="center"/>
    </w:pPr>
  </w:style>
  <w:style w:type="paragraph" w:customStyle="1" w:styleId="156">
    <w:name w:val="Char Char Char Char Char Char Char"/>
    <w:basedOn w:val="1"/>
    <w:autoRedefine/>
    <w:qFormat/>
    <w:uiPriority w:val="0"/>
  </w:style>
  <w:style w:type="paragraph" w:customStyle="1" w:styleId="157">
    <w:name w:val="许来慧表格"/>
    <w:basedOn w:val="1"/>
    <w:autoRedefine/>
    <w:qFormat/>
    <w:uiPriority w:val="0"/>
    <w:pPr>
      <w:jc w:val="center"/>
    </w:pPr>
    <w:rPr>
      <w:sz w:val="24"/>
      <w:szCs w:val="21"/>
    </w:rPr>
  </w:style>
  <w:style w:type="paragraph" w:customStyle="1" w:styleId="158">
    <w:name w:val="样式1"/>
    <w:basedOn w:val="1"/>
    <w:autoRedefine/>
    <w:qFormat/>
    <w:uiPriority w:val="0"/>
    <w:pPr>
      <w:spacing w:line="360" w:lineRule="auto"/>
      <w:ind w:firstLine="510"/>
    </w:pPr>
    <w:rPr>
      <w:sz w:val="24"/>
      <w:szCs w:val="20"/>
    </w:rPr>
  </w:style>
  <w:style w:type="paragraph" w:customStyle="1" w:styleId="159">
    <w:name w:val="Char Char Char Char Char Char"/>
    <w:basedOn w:val="1"/>
    <w:autoRedefine/>
    <w:qFormat/>
    <w:uiPriority w:val="0"/>
    <w:pPr>
      <w:spacing w:before="312" w:beforeLines="100"/>
    </w:pPr>
  </w:style>
  <w:style w:type="paragraph" w:customStyle="1" w:styleId="160">
    <w:name w:val="样式"/>
    <w:basedOn w:val="1"/>
    <w:autoRedefine/>
    <w:qFormat/>
    <w:uiPriority w:val="99"/>
    <w:pPr>
      <w:spacing w:before="156" w:beforeLines="50" w:after="156" w:afterLines="50"/>
    </w:pPr>
    <w:rPr>
      <w:rFonts w:eastAsia="黑体"/>
      <w:sz w:val="30"/>
      <w:szCs w:val="20"/>
    </w:rPr>
  </w:style>
  <w:style w:type="paragraph" w:customStyle="1" w:styleId="161">
    <w:name w:val="正文文本缩进 21"/>
    <w:basedOn w:val="1"/>
    <w:autoRedefine/>
    <w:qFormat/>
    <w:uiPriority w:val="0"/>
    <w:pPr>
      <w:adjustRightInd w:val="0"/>
      <w:spacing w:line="460" w:lineRule="exact"/>
      <w:ind w:firstLine="480"/>
      <w:textAlignment w:val="baseline"/>
    </w:pPr>
    <w:rPr>
      <w:sz w:val="24"/>
      <w:szCs w:val="20"/>
    </w:rPr>
  </w:style>
  <w:style w:type="paragraph" w:customStyle="1" w:styleId="162">
    <w:name w:val="Char Char Char1 Char Char Char Char Char"/>
    <w:basedOn w:val="1"/>
    <w:autoRedefine/>
    <w:qFormat/>
    <w:uiPriority w:val="0"/>
    <w:pPr>
      <w:widowControl/>
      <w:jc w:val="left"/>
    </w:pPr>
    <w:rPr>
      <w:rFonts w:ascii="宋体" w:hAnsi="宋体" w:cs="宋体"/>
      <w:kern w:val="0"/>
      <w:sz w:val="24"/>
    </w:rPr>
  </w:style>
  <w:style w:type="paragraph" w:customStyle="1" w:styleId="163">
    <w:name w:val="Char Char Char Char"/>
    <w:basedOn w:val="1"/>
    <w:autoRedefine/>
    <w:qFormat/>
    <w:uiPriority w:val="0"/>
  </w:style>
  <w:style w:type="paragraph" w:customStyle="1" w:styleId="164">
    <w:name w:val="TOC 标题1"/>
    <w:basedOn w:val="3"/>
    <w:next w:val="1"/>
    <w:autoRedefine/>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65">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66">
    <w:name w:val="Char Char Char Char Char Char1"/>
    <w:basedOn w:val="1"/>
    <w:next w:val="2"/>
    <w:autoRedefine/>
    <w:qFormat/>
    <w:uiPriority w:val="0"/>
  </w:style>
  <w:style w:type="paragraph" w:customStyle="1" w:styleId="167">
    <w:name w:val="正文文本缩进1"/>
    <w:basedOn w:val="1"/>
    <w:autoRedefine/>
    <w:qFormat/>
    <w:uiPriority w:val="0"/>
    <w:pPr>
      <w:spacing w:after="120"/>
      <w:ind w:left="420" w:leftChars="200"/>
    </w:pPr>
  </w:style>
  <w:style w:type="paragraph" w:customStyle="1" w:styleId="168">
    <w:name w:val="样式192"/>
    <w:basedOn w:val="1"/>
    <w:autoRedefine/>
    <w:qFormat/>
    <w:uiPriority w:val="0"/>
    <w:pPr>
      <w:spacing w:line="520" w:lineRule="exact"/>
      <w:jc w:val="center"/>
    </w:pPr>
    <w:rPr>
      <w:b/>
      <w:kern w:val="0"/>
      <w:szCs w:val="21"/>
    </w:rPr>
  </w:style>
  <w:style w:type="paragraph" w:customStyle="1" w:styleId="169">
    <w:name w:val="无悬挂正文5号"/>
    <w:basedOn w:val="1"/>
    <w:autoRedefine/>
    <w:qFormat/>
    <w:uiPriority w:val="0"/>
    <w:pPr>
      <w:jc w:val="center"/>
    </w:pPr>
  </w:style>
  <w:style w:type="paragraph" w:customStyle="1" w:styleId="170">
    <w:name w:val="Char Char Char Char Char Char Char Char Char Char Char Char Char Char Char Char Char Char"/>
    <w:basedOn w:val="1"/>
    <w:autoRedefine/>
    <w:qFormat/>
    <w:uiPriority w:val="0"/>
  </w:style>
  <w:style w:type="paragraph" w:customStyle="1" w:styleId="171">
    <w:name w:val="表格001"/>
    <w:basedOn w:val="1"/>
    <w:autoRedefine/>
    <w:qFormat/>
    <w:uiPriority w:val="99"/>
    <w:pPr>
      <w:tabs>
        <w:tab w:val="left" w:pos="2880"/>
        <w:tab w:val="left" w:pos="3120"/>
      </w:tabs>
      <w:spacing w:line="288" w:lineRule="auto"/>
      <w:jc w:val="center"/>
      <w:outlineLvl w:val="8"/>
    </w:pPr>
    <w:rPr>
      <w:rFonts w:eastAsia="黑体" w:cs="宋体"/>
      <w:kern w:val="0"/>
      <w:sz w:val="24"/>
      <w:szCs w:val="20"/>
    </w:rPr>
  </w:style>
  <w:style w:type="paragraph" w:customStyle="1" w:styleId="172">
    <w:name w:val="Char Char2 Char Char"/>
    <w:basedOn w:val="1"/>
    <w:autoRedefine/>
    <w:qFormat/>
    <w:uiPriority w:val="0"/>
    <w:pPr>
      <w:keepNext/>
      <w:keepLines/>
      <w:spacing w:before="340" w:after="330" w:line="578" w:lineRule="auto"/>
      <w:outlineLvl w:val="0"/>
    </w:pPr>
    <w:rPr>
      <w:rFonts w:eastAsia="黑体"/>
      <w:bCs/>
      <w:spacing w:val="20"/>
      <w:kern w:val="72"/>
      <w:sz w:val="30"/>
      <w:szCs w:val="30"/>
    </w:rPr>
  </w:style>
  <w:style w:type="character" w:customStyle="1" w:styleId="173">
    <w:name w:val="+正文 Char"/>
    <w:link w:val="174"/>
    <w:autoRedefine/>
    <w:qFormat/>
    <w:uiPriority w:val="0"/>
    <w:rPr>
      <w:sz w:val="24"/>
      <w:szCs w:val="28"/>
    </w:rPr>
  </w:style>
  <w:style w:type="paragraph" w:customStyle="1" w:styleId="174">
    <w:name w:val="+正文"/>
    <w:basedOn w:val="1"/>
    <w:link w:val="173"/>
    <w:autoRedefine/>
    <w:qFormat/>
    <w:uiPriority w:val="0"/>
    <w:pPr>
      <w:spacing w:line="360" w:lineRule="auto"/>
      <w:ind w:firstLine="200" w:firstLineChars="200"/>
    </w:pPr>
    <w:rPr>
      <w:rFonts w:asciiTheme="minorHAnsi" w:hAnsiTheme="minorHAnsi" w:eastAsiaTheme="minorEastAsia" w:cstheme="minorBidi"/>
      <w:sz w:val="24"/>
      <w:szCs w:val="28"/>
    </w:rPr>
  </w:style>
  <w:style w:type="paragraph" w:customStyle="1" w:styleId="175">
    <w:name w:val="p0"/>
    <w:basedOn w:val="1"/>
    <w:autoRedefine/>
    <w:qFormat/>
    <w:uiPriority w:val="0"/>
    <w:pPr>
      <w:widowControl/>
    </w:pPr>
    <w:rPr>
      <w:kern w:val="0"/>
      <w:szCs w:val="21"/>
    </w:rPr>
  </w:style>
  <w:style w:type="character" w:customStyle="1" w:styleId="176">
    <w:name w:val="LH正文 Char"/>
    <w:link w:val="177"/>
    <w:autoRedefine/>
    <w:qFormat/>
    <w:uiPriority w:val="0"/>
    <w:rPr>
      <w:sz w:val="24"/>
    </w:rPr>
  </w:style>
  <w:style w:type="paragraph" w:customStyle="1" w:styleId="177">
    <w:name w:val="LH正文"/>
    <w:basedOn w:val="1"/>
    <w:link w:val="176"/>
    <w:autoRedefine/>
    <w:qFormat/>
    <w:uiPriority w:val="0"/>
    <w:pPr>
      <w:autoSpaceDE w:val="0"/>
      <w:autoSpaceDN w:val="0"/>
      <w:adjustRightInd w:val="0"/>
      <w:spacing w:line="360" w:lineRule="auto"/>
      <w:ind w:firstLine="200" w:firstLineChars="200"/>
      <w:jc w:val="left"/>
      <w:textAlignment w:val="baseline"/>
    </w:pPr>
    <w:rPr>
      <w:rFonts w:asciiTheme="minorHAnsi" w:hAnsiTheme="minorHAnsi" w:eastAsiaTheme="minorEastAsia" w:cstheme="minorBidi"/>
      <w:sz w:val="24"/>
      <w:szCs w:val="22"/>
    </w:rPr>
  </w:style>
  <w:style w:type="paragraph" w:customStyle="1" w:styleId="178">
    <w:name w:val="1"/>
    <w:basedOn w:val="1"/>
    <w:next w:val="25"/>
    <w:autoRedefine/>
    <w:qFormat/>
    <w:uiPriority w:val="0"/>
    <w:pPr>
      <w:spacing w:line="360" w:lineRule="auto"/>
      <w:ind w:firstLine="480"/>
    </w:pPr>
    <w:rPr>
      <w:rFonts w:ascii="宋体"/>
      <w:sz w:val="24"/>
      <w:szCs w:val="20"/>
    </w:rPr>
  </w:style>
  <w:style w:type="character" w:customStyle="1" w:styleId="179">
    <w:name w:val="表格正文 Char Char"/>
    <w:autoRedefine/>
    <w:qFormat/>
    <w:uiPriority w:val="0"/>
    <w:rPr>
      <w:rFonts w:eastAsia="宋体"/>
      <w:sz w:val="24"/>
      <w:lang w:val="en-US" w:eastAsia="zh-CN" w:bidi="ar-SA"/>
    </w:rPr>
  </w:style>
  <w:style w:type="character" w:customStyle="1" w:styleId="180">
    <w:name w:val="Char Char5"/>
    <w:autoRedefine/>
    <w:qFormat/>
    <w:uiPriority w:val="0"/>
    <w:rPr>
      <w:rFonts w:eastAsia="宋体"/>
      <w:kern w:val="2"/>
      <w:sz w:val="21"/>
      <w:szCs w:val="21"/>
      <w:lang w:val="en-US" w:eastAsia="zh-CN" w:bidi="ar-SA"/>
    </w:rPr>
  </w:style>
  <w:style w:type="character" w:customStyle="1" w:styleId="181">
    <w:name w:val="新标题2 Char Char"/>
    <w:autoRedefine/>
    <w:qFormat/>
    <w:uiPriority w:val="0"/>
    <w:rPr>
      <w:rFonts w:ascii="宋体" w:hAnsi="宋体" w:eastAsia="宋体"/>
      <w:kern w:val="2"/>
      <w:sz w:val="24"/>
      <w:szCs w:val="24"/>
      <w:lang w:val="en-US" w:eastAsia="zh-CN" w:bidi="ar-SA"/>
    </w:rPr>
  </w:style>
  <w:style w:type="character" w:customStyle="1" w:styleId="182">
    <w:name w:val="表文 Char Char"/>
    <w:autoRedefine/>
    <w:qFormat/>
    <w:uiPriority w:val="0"/>
    <w:rPr>
      <w:rFonts w:eastAsia="宋体"/>
      <w:kern w:val="2"/>
      <w:sz w:val="24"/>
      <w:lang w:val="en-US" w:eastAsia="zh-CN" w:bidi="ar-SA"/>
    </w:rPr>
  </w:style>
  <w:style w:type="character" w:customStyle="1" w:styleId="183">
    <w:name w:val="yxPopup"/>
    <w:autoRedefine/>
    <w:qFormat/>
    <w:uiPriority w:val="0"/>
    <w:rPr>
      <w:rFonts w:ascii="Courier New" w:hAnsi="Courier New"/>
      <w:color w:val="008000"/>
    </w:rPr>
  </w:style>
  <w:style w:type="character" w:customStyle="1" w:styleId="184">
    <w:name w:val="yxInternal"/>
    <w:autoRedefine/>
    <w:qFormat/>
    <w:uiPriority w:val="0"/>
    <w:rPr>
      <w:rFonts w:ascii="Courier New" w:hAnsi="Courier New"/>
      <w:color w:val="FF0000"/>
    </w:rPr>
  </w:style>
  <w:style w:type="character" w:customStyle="1" w:styleId="185">
    <w:name w:val="标题 1 Char Char"/>
    <w:autoRedefine/>
    <w:qFormat/>
    <w:uiPriority w:val="0"/>
    <w:rPr>
      <w:rFonts w:eastAsia="黑体"/>
      <w:b/>
      <w:bCs/>
      <w:kern w:val="44"/>
      <w:sz w:val="30"/>
      <w:szCs w:val="28"/>
      <w:lang w:val="en-US" w:eastAsia="zh-CN" w:bidi="ar-SA"/>
    </w:rPr>
  </w:style>
  <w:style w:type="character" w:customStyle="1" w:styleId="186">
    <w:name w:val="正文2 Char Char"/>
    <w:autoRedefine/>
    <w:qFormat/>
    <w:uiPriority w:val="0"/>
    <w:rPr>
      <w:rFonts w:eastAsia="宋体"/>
      <w:kern w:val="2"/>
      <w:sz w:val="24"/>
      <w:szCs w:val="24"/>
      <w:lang w:val="en-US" w:eastAsia="zh-CN" w:bidi="ar-SA"/>
    </w:rPr>
  </w:style>
  <w:style w:type="character" w:customStyle="1" w:styleId="187">
    <w:name w:val="注释标题 Char"/>
    <w:link w:val="13"/>
    <w:autoRedefine/>
    <w:qFormat/>
    <w:uiPriority w:val="0"/>
    <w:rPr>
      <w:sz w:val="24"/>
      <w:lang w:eastAsia="en-US" w:bidi="en-US"/>
    </w:rPr>
  </w:style>
  <w:style w:type="character" w:customStyle="1" w:styleId="188">
    <w:name w:val="普通(网站) 字符"/>
    <w:autoRedefine/>
    <w:qFormat/>
    <w:locked/>
    <w:uiPriority w:val="0"/>
    <w:rPr>
      <w:rFonts w:ascii="宋体" w:hAnsi="宋体" w:eastAsia="宋体"/>
      <w:sz w:val="24"/>
    </w:rPr>
  </w:style>
  <w:style w:type="character" w:customStyle="1" w:styleId="189">
    <w:name w:val="style9"/>
    <w:autoRedefine/>
    <w:qFormat/>
    <w:uiPriority w:val="0"/>
  </w:style>
  <w:style w:type="character" w:customStyle="1" w:styleId="190">
    <w:name w:val="Char Char1"/>
    <w:autoRedefine/>
    <w:qFormat/>
    <w:uiPriority w:val="0"/>
    <w:rPr>
      <w:rFonts w:eastAsia="黑体"/>
      <w:b/>
      <w:bCs/>
      <w:kern w:val="2"/>
      <w:sz w:val="24"/>
      <w:szCs w:val="32"/>
      <w:lang w:val="en-US" w:eastAsia="zh-CN" w:bidi="ar-SA"/>
    </w:rPr>
  </w:style>
  <w:style w:type="character" w:customStyle="1" w:styleId="191">
    <w:name w:val="表文 Char"/>
    <w:link w:val="192"/>
    <w:autoRedefine/>
    <w:qFormat/>
    <w:uiPriority w:val="0"/>
    <w:rPr>
      <w:sz w:val="24"/>
    </w:rPr>
  </w:style>
  <w:style w:type="paragraph" w:customStyle="1" w:styleId="192">
    <w:name w:val="表文"/>
    <w:basedOn w:val="1"/>
    <w:link w:val="191"/>
    <w:autoRedefine/>
    <w:qFormat/>
    <w:uiPriority w:val="0"/>
    <w:pPr>
      <w:overflowPunct w:val="0"/>
      <w:jc w:val="center"/>
      <w:textAlignment w:val="baseline"/>
    </w:pPr>
    <w:rPr>
      <w:rFonts w:asciiTheme="minorHAnsi" w:hAnsiTheme="minorHAnsi" w:eastAsiaTheme="minorEastAsia" w:cstheme="minorBidi"/>
      <w:sz w:val="24"/>
      <w:szCs w:val="22"/>
    </w:rPr>
  </w:style>
  <w:style w:type="character" w:customStyle="1" w:styleId="193">
    <w:name w:val="表名 Char"/>
    <w:link w:val="194"/>
    <w:autoRedefine/>
    <w:qFormat/>
    <w:uiPriority w:val="0"/>
    <w:rPr>
      <w:rFonts w:eastAsia="黑体"/>
      <w:sz w:val="28"/>
    </w:rPr>
  </w:style>
  <w:style w:type="paragraph" w:customStyle="1" w:styleId="194">
    <w:name w:val="表名"/>
    <w:basedOn w:val="195"/>
    <w:link w:val="193"/>
    <w:autoRedefine/>
    <w:qFormat/>
    <w:uiPriority w:val="0"/>
    <w:pPr>
      <w:overflowPunct w:val="0"/>
      <w:spacing w:before="120" w:line="300" w:lineRule="exact"/>
      <w:textAlignment w:val="baseline"/>
    </w:pPr>
    <w:rPr>
      <w:rFonts w:eastAsia="黑体" w:asciiTheme="minorHAnsi" w:hAnsiTheme="minorHAnsi" w:cstheme="minorBidi"/>
      <w:sz w:val="28"/>
      <w:szCs w:val="22"/>
    </w:rPr>
  </w:style>
  <w:style w:type="paragraph" w:customStyle="1" w:styleId="195">
    <w:name w:val="样式3"/>
    <w:basedOn w:val="25"/>
    <w:autoRedefine/>
    <w:qFormat/>
    <w:uiPriority w:val="0"/>
    <w:pPr>
      <w:spacing w:before="312" w:beforeLines="100" w:after="312" w:afterLines="100" w:line="400" w:lineRule="exact"/>
      <w:ind w:left="0" w:leftChars="0"/>
    </w:pPr>
    <w:rPr>
      <w:rFonts w:ascii="楷体_GB2312" w:hAnsi="宋体" w:eastAsia="楷体_GB2312"/>
      <w:sz w:val="24"/>
    </w:rPr>
  </w:style>
  <w:style w:type="character" w:customStyle="1" w:styleId="196">
    <w:name w:val="yxExternal"/>
    <w:autoRedefine/>
    <w:qFormat/>
    <w:uiPriority w:val="0"/>
    <w:rPr>
      <w:rFonts w:ascii="Courier New" w:hAnsi="Courier New"/>
      <w:color w:val="808080"/>
    </w:rPr>
  </w:style>
  <w:style w:type="character" w:customStyle="1" w:styleId="197">
    <w:name w:val="页脚 字符1"/>
    <w:autoRedefine/>
    <w:qFormat/>
    <w:locked/>
    <w:uiPriority w:val="99"/>
    <w:rPr>
      <w:sz w:val="18"/>
    </w:rPr>
  </w:style>
  <w:style w:type="character" w:customStyle="1" w:styleId="198">
    <w:name w:val="脚注文本 Char"/>
    <w:link w:val="39"/>
    <w:autoRedefine/>
    <w:qFormat/>
    <w:uiPriority w:val="0"/>
    <w:rPr>
      <w:sz w:val="18"/>
      <w:szCs w:val="18"/>
    </w:rPr>
  </w:style>
  <w:style w:type="character" w:customStyle="1" w:styleId="199">
    <w:name w:val="普通文字 Char"/>
    <w:autoRedefine/>
    <w:qFormat/>
    <w:uiPriority w:val="0"/>
    <w:rPr>
      <w:rFonts w:ascii="宋体" w:hAnsi="Courier New" w:eastAsia="宋体"/>
      <w:kern w:val="2"/>
      <w:sz w:val="21"/>
      <w:lang w:val="en-US" w:eastAsia="zh-CN" w:bidi="ar-SA"/>
    </w:rPr>
  </w:style>
  <w:style w:type="character" w:customStyle="1" w:styleId="200">
    <w:name w:val="dz1"/>
    <w:autoRedefine/>
    <w:qFormat/>
    <w:uiPriority w:val="0"/>
    <w:rPr>
      <w:rFonts w:hint="default" w:ascii="Geneva" w:hAnsi="Geneva"/>
      <w:sz w:val="20"/>
      <w:szCs w:val="20"/>
    </w:rPr>
  </w:style>
  <w:style w:type="character" w:customStyle="1" w:styleId="201">
    <w:name w:val="文档结构图 Char"/>
    <w:link w:val="20"/>
    <w:autoRedefine/>
    <w:qFormat/>
    <w:uiPriority w:val="0"/>
    <w:rPr>
      <w:szCs w:val="24"/>
      <w:shd w:val="clear" w:color="auto" w:fill="000080"/>
    </w:rPr>
  </w:style>
  <w:style w:type="character" w:customStyle="1" w:styleId="202">
    <w:name w:val="表名 Char Char"/>
    <w:autoRedefine/>
    <w:qFormat/>
    <w:uiPriority w:val="0"/>
    <w:rPr>
      <w:rFonts w:eastAsia="黑体"/>
      <w:kern w:val="2"/>
      <w:sz w:val="28"/>
      <w:lang w:val="en-US" w:eastAsia="zh-CN" w:bidi="ar-SA"/>
    </w:rPr>
  </w:style>
  <w:style w:type="character" w:customStyle="1" w:styleId="203">
    <w:name w:val="15"/>
    <w:autoRedefine/>
    <w:qFormat/>
    <w:uiPriority w:val="0"/>
    <w:rPr>
      <w:rFonts w:hint="default" w:ascii="Times New Roman" w:hAnsi="Times New Roman" w:cs="Times New Roman"/>
      <w:sz w:val="20"/>
      <w:szCs w:val="20"/>
    </w:rPr>
  </w:style>
  <w:style w:type="character" w:customStyle="1" w:styleId="204">
    <w:name w:val="04 Char"/>
    <w:link w:val="205"/>
    <w:autoRedefine/>
    <w:qFormat/>
    <w:uiPriority w:val="0"/>
    <w:rPr>
      <w:bCs/>
      <w:kern w:val="44"/>
      <w:sz w:val="28"/>
      <w:szCs w:val="28"/>
    </w:rPr>
  </w:style>
  <w:style w:type="paragraph" w:customStyle="1" w:styleId="205">
    <w:name w:val="04"/>
    <w:basedOn w:val="1"/>
    <w:link w:val="204"/>
    <w:autoRedefine/>
    <w:qFormat/>
    <w:uiPriority w:val="0"/>
    <w:pPr>
      <w:spacing w:line="360" w:lineRule="auto"/>
      <w:ind w:firstLine="200" w:firstLineChars="200"/>
    </w:pPr>
    <w:rPr>
      <w:rFonts w:asciiTheme="minorHAnsi" w:hAnsiTheme="minorHAnsi" w:eastAsiaTheme="minorEastAsia" w:cstheme="minorBidi"/>
      <w:bCs/>
      <w:kern w:val="44"/>
      <w:sz w:val="28"/>
      <w:szCs w:val="28"/>
    </w:rPr>
  </w:style>
  <w:style w:type="character" w:customStyle="1" w:styleId="206">
    <w:name w:val="日期 字符1"/>
    <w:autoRedefine/>
    <w:qFormat/>
    <w:locked/>
    <w:uiPriority w:val="0"/>
    <w:rPr>
      <w:rFonts w:ascii="Times New Roman" w:hAnsi="Times New Roman" w:eastAsia="宋体"/>
      <w:sz w:val="24"/>
    </w:rPr>
  </w:style>
  <w:style w:type="character" w:customStyle="1" w:styleId="207">
    <w:name w:val="yxMark"/>
    <w:autoRedefine/>
    <w:qFormat/>
    <w:uiPriority w:val="0"/>
    <w:rPr>
      <w:rFonts w:ascii="Courier New" w:hAnsi="Courier New"/>
      <w:vanish/>
      <w:color w:val="800000"/>
      <w:vertAlign w:val="subscript"/>
    </w:rPr>
  </w:style>
  <w:style w:type="character" w:customStyle="1" w:styleId="208">
    <w:name w:val="正文文本缩进 3 字符1"/>
    <w:autoRedefine/>
    <w:qFormat/>
    <w:uiPriority w:val="0"/>
    <w:rPr>
      <w:kern w:val="2"/>
      <w:sz w:val="16"/>
      <w:szCs w:val="16"/>
    </w:rPr>
  </w:style>
  <w:style w:type="character" w:customStyle="1" w:styleId="209">
    <w:name w:val="注释标题 字符1"/>
    <w:autoRedefine/>
    <w:qFormat/>
    <w:uiPriority w:val="0"/>
    <w:rPr>
      <w:kern w:val="2"/>
      <w:sz w:val="21"/>
      <w:szCs w:val="24"/>
    </w:rPr>
  </w:style>
  <w:style w:type="character" w:customStyle="1" w:styleId="210">
    <w:name w:val="表号 Char"/>
    <w:link w:val="211"/>
    <w:autoRedefine/>
    <w:qFormat/>
    <w:uiPriority w:val="0"/>
    <w:rPr>
      <w:szCs w:val="24"/>
    </w:rPr>
  </w:style>
  <w:style w:type="paragraph" w:customStyle="1" w:styleId="211">
    <w:name w:val="表号"/>
    <w:basedOn w:val="1"/>
    <w:link w:val="210"/>
    <w:autoRedefine/>
    <w:qFormat/>
    <w:uiPriority w:val="0"/>
    <w:pPr>
      <w:overflowPunct w:val="0"/>
      <w:autoSpaceDE w:val="0"/>
      <w:autoSpaceDN w:val="0"/>
      <w:adjustRightInd w:val="0"/>
      <w:ind w:firstLine="113"/>
      <w:textAlignment w:val="center"/>
    </w:pPr>
    <w:rPr>
      <w:rFonts w:asciiTheme="minorHAnsi" w:hAnsiTheme="minorHAnsi" w:eastAsiaTheme="minorEastAsia" w:cstheme="minorBidi"/>
    </w:rPr>
  </w:style>
  <w:style w:type="character" w:customStyle="1" w:styleId="212">
    <w:name w:val="Char Char Char Char Char Char Char Char Char"/>
    <w:autoRedefine/>
    <w:qFormat/>
    <w:uiPriority w:val="0"/>
    <w:rPr>
      <w:rFonts w:eastAsia="宋体"/>
      <w:b/>
      <w:sz w:val="24"/>
      <w:lang w:val="en-US" w:eastAsia="zh-CN" w:bidi="ar-SA"/>
    </w:rPr>
  </w:style>
  <w:style w:type="character" w:customStyle="1" w:styleId="213">
    <w:name w:val="HTML 打字机1"/>
    <w:autoRedefine/>
    <w:qFormat/>
    <w:uiPriority w:val="0"/>
    <w:rPr>
      <w:rFonts w:ascii="Courier New" w:hAnsi="Courier New"/>
      <w:sz w:val="20"/>
    </w:rPr>
  </w:style>
  <w:style w:type="character" w:customStyle="1" w:styleId="214">
    <w:name w:val="正文文本首行缩进 字符"/>
    <w:autoRedefine/>
    <w:qFormat/>
    <w:uiPriority w:val="0"/>
    <w:rPr>
      <w:kern w:val="2"/>
      <w:sz w:val="21"/>
      <w:szCs w:val="24"/>
    </w:rPr>
  </w:style>
  <w:style w:type="character" w:customStyle="1" w:styleId="215">
    <w:name w:val="yxNone"/>
    <w:autoRedefine/>
    <w:qFormat/>
    <w:uiPriority w:val="0"/>
  </w:style>
  <w:style w:type="character" w:customStyle="1" w:styleId="216">
    <w:name w:val="标题 3 Char Char"/>
    <w:autoRedefine/>
    <w:qFormat/>
    <w:uiPriority w:val="0"/>
    <w:rPr>
      <w:rFonts w:eastAsia="宋体"/>
      <w:b/>
      <w:bCs/>
      <w:kern w:val="2"/>
      <w:sz w:val="32"/>
      <w:szCs w:val="32"/>
      <w:lang w:val="en-US" w:eastAsia="zh-CN" w:bidi="ar-SA"/>
    </w:rPr>
  </w:style>
  <w:style w:type="character" w:customStyle="1" w:styleId="217">
    <w:name w:val="样式 标题 2 + 黑体 小四 Char Char"/>
    <w:autoRedefine/>
    <w:qFormat/>
    <w:uiPriority w:val="0"/>
    <w:rPr>
      <w:rFonts w:ascii="黑体" w:hAnsi="黑体" w:eastAsia="黑体"/>
      <w:b/>
      <w:bCs/>
      <w:kern w:val="2"/>
      <w:sz w:val="24"/>
      <w:szCs w:val="32"/>
      <w:lang w:val="en-US" w:eastAsia="zh-CN" w:bidi="ar-SA"/>
    </w:rPr>
  </w:style>
  <w:style w:type="character" w:customStyle="1" w:styleId="218">
    <w:name w:val="注释标题 Char1"/>
    <w:autoRedefine/>
    <w:qFormat/>
    <w:uiPriority w:val="0"/>
    <w:rPr>
      <w:kern w:val="2"/>
      <w:sz w:val="21"/>
      <w:szCs w:val="24"/>
    </w:rPr>
  </w:style>
  <w:style w:type="character" w:customStyle="1" w:styleId="219">
    <w:name w:val="表ma Char1"/>
    <w:link w:val="220"/>
    <w:autoRedefine/>
    <w:qFormat/>
    <w:uiPriority w:val="0"/>
    <w:rPr>
      <w:rFonts w:cs="宋体"/>
      <w:szCs w:val="24"/>
    </w:rPr>
  </w:style>
  <w:style w:type="paragraph" w:customStyle="1" w:styleId="220">
    <w:name w:val="表ma"/>
    <w:basedOn w:val="1"/>
    <w:link w:val="219"/>
    <w:autoRedefine/>
    <w:qFormat/>
    <w:uiPriority w:val="0"/>
    <w:pPr>
      <w:jc w:val="center"/>
    </w:pPr>
    <w:rPr>
      <w:rFonts w:cs="宋体" w:asciiTheme="minorHAnsi" w:hAnsiTheme="minorHAnsi" w:eastAsiaTheme="minorEastAsia"/>
    </w:rPr>
  </w:style>
  <w:style w:type="character" w:customStyle="1" w:styleId="221">
    <w:name w:val="未处理的提及1"/>
    <w:autoRedefine/>
    <w:unhideWhenUsed/>
    <w:qFormat/>
    <w:uiPriority w:val="99"/>
    <w:rPr>
      <w:color w:val="605E5C"/>
      <w:shd w:val="clear" w:color="auto" w:fill="E1DFDD"/>
    </w:rPr>
  </w:style>
  <w:style w:type="character" w:customStyle="1" w:styleId="222">
    <w:name w:val="yxJump"/>
    <w:autoRedefine/>
    <w:qFormat/>
    <w:uiPriority w:val="0"/>
    <w:rPr>
      <w:rFonts w:ascii="Courier New" w:hAnsi="Courier New"/>
      <w:color w:val="008080"/>
    </w:rPr>
  </w:style>
  <w:style w:type="paragraph" w:customStyle="1" w:styleId="223">
    <w:name w:val="正文01"/>
    <w:basedOn w:val="1"/>
    <w:autoRedefine/>
    <w:qFormat/>
    <w:uiPriority w:val="0"/>
    <w:pPr>
      <w:spacing w:before="60" w:line="460" w:lineRule="exact"/>
      <w:ind w:firstLine="200" w:firstLineChars="200"/>
    </w:pPr>
    <w:rPr>
      <w:sz w:val="24"/>
    </w:rPr>
  </w:style>
  <w:style w:type="paragraph" w:customStyle="1" w:styleId="224">
    <w:name w:val="Char1"/>
    <w:basedOn w:val="1"/>
    <w:autoRedefine/>
    <w:qFormat/>
    <w:uiPriority w:val="0"/>
  </w:style>
  <w:style w:type="paragraph" w:customStyle="1" w:styleId="225">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226">
    <w:name w:val="aa正文"/>
    <w:basedOn w:val="1"/>
    <w:autoRedefine/>
    <w:qFormat/>
    <w:uiPriority w:val="0"/>
    <w:pPr>
      <w:topLinePunct/>
      <w:spacing w:line="500" w:lineRule="exact"/>
      <w:ind w:firstLine="200" w:firstLineChars="200"/>
      <w:textAlignment w:val="baseline"/>
    </w:pPr>
    <w:rPr>
      <w:bCs/>
      <w:snapToGrid w:val="0"/>
      <w:color w:val="000000"/>
      <w:kern w:val="0"/>
      <w:sz w:val="24"/>
    </w:rPr>
  </w:style>
  <w:style w:type="character" w:customStyle="1" w:styleId="227">
    <w:name w:val="文档结构图 字符1"/>
    <w:basedOn w:val="51"/>
    <w:autoRedefine/>
    <w:qFormat/>
    <w:uiPriority w:val="0"/>
    <w:rPr>
      <w:rFonts w:ascii="Microsoft YaHei UI" w:hAnsi="Times New Roman" w:eastAsia="Microsoft YaHei UI" w:cs="Times New Roman"/>
      <w:sz w:val="18"/>
      <w:szCs w:val="18"/>
    </w:rPr>
  </w:style>
  <w:style w:type="paragraph" w:customStyle="1" w:styleId="228">
    <w:name w:val="Char Char Char Char11"/>
    <w:basedOn w:val="1"/>
    <w:autoRedefine/>
    <w:qFormat/>
    <w:uiPriority w:val="0"/>
  </w:style>
  <w:style w:type="paragraph" w:customStyle="1" w:styleId="229">
    <w:name w:val="样式4"/>
    <w:basedOn w:val="1"/>
    <w:autoRedefine/>
    <w:qFormat/>
    <w:uiPriority w:val="0"/>
    <w:pPr>
      <w:spacing w:line="400" w:lineRule="exact"/>
      <w:ind w:firstLine="200" w:firstLineChars="200"/>
    </w:pPr>
    <w:rPr>
      <w:rFonts w:ascii="宋体" w:hAnsi="宋体"/>
      <w:sz w:val="24"/>
      <w:szCs w:val="21"/>
    </w:rPr>
  </w:style>
  <w:style w:type="paragraph" w:customStyle="1" w:styleId="230">
    <w:name w:val="Char4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231">
    <w:name w:val="标题5"/>
    <w:basedOn w:val="19"/>
    <w:autoRedefine/>
    <w:qFormat/>
    <w:uiPriority w:val="0"/>
    <w:pPr>
      <w:spacing w:line="324" w:lineRule="auto"/>
      <w:ind w:left="0" w:leftChars="0" w:firstLine="480" w:firstLineChars="200"/>
      <w:outlineLvl w:val="4"/>
    </w:pPr>
    <w:rPr>
      <w:sz w:val="24"/>
    </w:rPr>
  </w:style>
  <w:style w:type="paragraph" w:customStyle="1" w:styleId="232">
    <w:name w:val="Char Char Char Char Char Char Char Char Char Char Char Char Char Char Char Char Char Char Char"/>
    <w:basedOn w:val="1"/>
    <w:autoRedefine/>
    <w:semiHidden/>
    <w:qFormat/>
    <w:uiPriority w:val="0"/>
  </w:style>
  <w:style w:type="paragraph" w:customStyle="1" w:styleId="233">
    <w:name w:val="Char11"/>
    <w:basedOn w:val="1"/>
    <w:autoRedefine/>
    <w:qFormat/>
    <w:uiPriority w:val="0"/>
    <w:pPr>
      <w:spacing w:line="360" w:lineRule="auto"/>
      <w:ind w:firstLine="200" w:firstLineChars="200"/>
    </w:pPr>
    <w:rPr>
      <w:rFonts w:ascii="宋体" w:hAnsi="宋体" w:cs="宋体"/>
      <w:sz w:val="24"/>
    </w:rPr>
  </w:style>
  <w:style w:type="paragraph" w:customStyle="1" w:styleId="234">
    <w:name w:val="表内文字"/>
    <w:basedOn w:val="194"/>
    <w:autoRedefine/>
    <w:qFormat/>
    <w:uiPriority w:val="0"/>
    <w:pPr>
      <w:spacing w:line="320" w:lineRule="exact"/>
      <w:jc w:val="center"/>
    </w:pPr>
    <w:rPr>
      <w:rFonts w:eastAsia="仿宋_GB2312"/>
    </w:rPr>
  </w:style>
  <w:style w:type="paragraph" w:customStyle="1" w:styleId="235">
    <w:name w:val="正文2"/>
    <w:basedOn w:val="1"/>
    <w:autoRedefine/>
    <w:qFormat/>
    <w:uiPriority w:val="0"/>
    <w:pPr>
      <w:spacing w:line="360" w:lineRule="auto"/>
      <w:ind w:firstLine="200" w:firstLineChars="200"/>
    </w:pPr>
    <w:rPr>
      <w:sz w:val="24"/>
    </w:rPr>
  </w:style>
  <w:style w:type="paragraph" w:customStyle="1" w:styleId="236">
    <w:name w:val="样式 行距: 固定值 20 磅"/>
    <w:basedOn w:val="1"/>
    <w:autoRedefine/>
    <w:qFormat/>
    <w:uiPriority w:val="0"/>
    <w:pPr>
      <w:spacing w:before="312" w:beforeLines="100" w:after="312" w:afterLines="100" w:line="400" w:lineRule="exact"/>
    </w:pPr>
    <w:rPr>
      <w:rFonts w:cs="宋体"/>
      <w:szCs w:val="20"/>
    </w:rPr>
  </w:style>
  <w:style w:type="paragraph" w:customStyle="1" w:styleId="237">
    <w:name w:val="默认段落字体 Para Char"/>
    <w:basedOn w:val="1"/>
    <w:autoRedefine/>
    <w:qFormat/>
    <w:uiPriority w:val="0"/>
    <w:rPr>
      <w:rFonts w:ascii="宋体"/>
      <w:sz w:val="28"/>
    </w:rPr>
  </w:style>
  <w:style w:type="paragraph" w:customStyle="1" w:styleId="238">
    <w:name w:val="二级标题"/>
    <w:basedOn w:val="4"/>
    <w:autoRedefine/>
    <w:qFormat/>
    <w:uiPriority w:val="0"/>
    <w:pPr>
      <w:keepNext w:val="0"/>
      <w:keepLines w:val="0"/>
      <w:widowControl/>
      <w:adjustRightInd w:val="0"/>
      <w:spacing w:before="0" w:after="156" w:afterLines="50" w:line="360" w:lineRule="auto"/>
      <w:jc w:val="left"/>
      <w:textAlignment w:val="baseline"/>
    </w:pPr>
    <w:rPr>
      <w:rFonts w:ascii="Times New Roman" w:hAnsi="Times New Roman"/>
      <w:bCs w:val="0"/>
      <w:kern w:val="0"/>
      <w:sz w:val="24"/>
      <w:szCs w:val="24"/>
    </w:rPr>
  </w:style>
  <w:style w:type="paragraph" w:customStyle="1" w:styleId="239">
    <w:name w:val="cucd-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240">
    <w:name w:val="Char Char2 Char Char Char Char"/>
    <w:basedOn w:val="1"/>
    <w:autoRedefine/>
    <w:qFormat/>
    <w:uiPriority w:val="0"/>
  </w:style>
  <w:style w:type="paragraph" w:customStyle="1" w:styleId="241">
    <w:name w:val="表格题目"/>
    <w:basedOn w:val="1"/>
    <w:next w:val="1"/>
    <w:autoRedefine/>
    <w:qFormat/>
    <w:uiPriority w:val="0"/>
    <w:pPr>
      <w:adjustRightInd w:val="0"/>
      <w:spacing w:before="156" w:beforeLines="50" w:line="360" w:lineRule="auto"/>
      <w:jc w:val="center"/>
      <w:textAlignment w:val="baseline"/>
    </w:pPr>
    <w:rPr>
      <w:bCs/>
      <w:sz w:val="24"/>
    </w:rPr>
  </w:style>
  <w:style w:type="paragraph" w:customStyle="1" w:styleId="242">
    <w:name w:val="表格正文"/>
    <w:basedOn w:val="5"/>
    <w:autoRedefine/>
    <w:qFormat/>
    <w:uiPriority w:val="0"/>
    <w:pPr>
      <w:keepNext w:val="0"/>
      <w:keepLines w:val="0"/>
      <w:adjustRightInd w:val="0"/>
      <w:spacing w:before="0" w:after="0" w:line="240" w:lineRule="auto"/>
      <w:jc w:val="center"/>
      <w:textAlignment w:val="baseline"/>
    </w:pPr>
    <w:rPr>
      <w:b w:val="0"/>
      <w:bCs w:val="0"/>
      <w:kern w:val="0"/>
      <w:sz w:val="24"/>
      <w:szCs w:val="20"/>
    </w:rPr>
  </w:style>
  <w:style w:type="paragraph" w:customStyle="1" w:styleId="243">
    <w:name w:val="方案正文"/>
    <w:basedOn w:val="1"/>
    <w:autoRedefine/>
    <w:qFormat/>
    <w:uiPriority w:val="0"/>
    <w:pPr>
      <w:spacing w:before="156" w:after="156" w:line="360" w:lineRule="auto"/>
      <w:ind w:firstLine="536" w:firstLineChars="200"/>
    </w:pPr>
    <w:rPr>
      <w:rFonts w:cs="宋体"/>
      <w:spacing w:val="14"/>
      <w:sz w:val="24"/>
    </w:rPr>
  </w:style>
  <w:style w:type="paragraph" w:customStyle="1" w:styleId="244">
    <w:name w:val="小黑标"/>
    <w:basedOn w:val="1"/>
    <w:autoRedefine/>
    <w:qFormat/>
    <w:uiPriority w:val="0"/>
    <w:pPr>
      <w:spacing w:before="50" w:line="360" w:lineRule="auto"/>
    </w:pPr>
    <w:rPr>
      <w:rFonts w:ascii="黑体" w:eastAsia="黑体"/>
      <w:b/>
      <w:sz w:val="24"/>
      <w:szCs w:val="20"/>
    </w:rPr>
  </w:style>
  <w:style w:type="character" w:customStyle="1" w:styleId="245">
    <w:name w:val="注释标题 字符2"/>
    <w:basedOn w:val="51"/>
    <w:autoRedefine/>
    <w:qFormat/>
    <w:uiPriority w:val="0"/>
    <w:rPr>
      <w:rFonts w:ascii="Times New Roman" w:hAnsi="Times New Roman" w:eastAsia="宋体" w:cs="Times New Roman"/>
      <w:szCs w:val="24"/>
    </w:rPr>
  </w:style>
  <w:style w:type="paragraph" w:customStyle="1" w:styleId="246">
    <w:name w:val="标题1"/>
    <w:basedOn w:val="21"/>
    <w:autoRedefine/>
    <w:qFormat/>
    <w:uiPriority w:val="0"/>
    <w:rPr>
      <w:rFonts w:ascii="黑体" w:eastAsia="黑体"/>
      <w:b/>
      <w:sz w:val="28"/>
    </w:rPr>
  </w:style>
  <w:style w:type="paragraph" w:customStyle="1" w:styleId="247">
    <w:name w:val="宋标一"/>
    <w:basedOn w:val="1"/>
    <w:autoRedefine/>
    <w:qFormat/>
    <w:uiPriority w:val="0"/>
    <w:pPr>
      <w:spacing w:before="156" w:beforeLines="50" w:line="360" w:lineRule="auto"/>
      <w:ind w:firstLine="200" w:firstLineChars="200"/>
    </w:pPr>
    <w:rPr>
      <w:sz w:val="24"/>
    </w:rPr>
  </w:style>
  <w:style w:type="paragraph" w:customStyle="1" w:styleId="248">
    <w:name w:val="默认段落字体 Para Char Char Char Char"/>
    <w:basedOn w:val="1"/>
    <w:autoRedefine/>
    <w:qFormat/>
    <w:uiPriority w:val="0"/>
  </w:style>
  <w:style w:type="paragraph" w:customStyle="1" w:styleId="249">
    <w:name w:val="Char21"/>
    <w:basedOn w:val="1"/>
    <w:autoRedefine/>
    <w:qFormat/>
    <w:uiPriority w:val="0"/>
    <w:rPr>
      <w:szCs w:val="20"/>
    </w:rPr>
  </w:style>
  <w:style w:type="paragraph" w:customStyle="1" w:styleId="250">
    <w:name w:val="报告书的正文格式"/>
    <w:basedOn w:val="47"/>
    <w:autoRedefine/>
    <w:qFormat/>
    <w:uiPriority w:val="0"/>
    <w:pPr>
      <w:spacing w:line="480" w:lineRule="exact"/>
      <w:ind w:firstLine="200" w:firstLineChars="200"/>
      <w:jc w:val="both"/>
    </w:pPr>
    <w:rPr>
      <w:color w:val="auto"/>
      <w:w w:val="100"/>
      <w:kern w:val="0"/>
      <w:szCs w:val="24"/>
    </w:rPr>
  </w:style>
  <w:style w:type="paragraph" w:customStyle="1" w:styleId="251">
    <w:name w:val="表格标题"/>
    <w:basedOn w:val="3"/>
    <w:link w:val="295"/>
    <w:autoRedefine/>
    <w:qFormat/>
    <w:uiPriority w:val="0"/>
    <w:pPr>
      <w:keepLines/>
      <w:overflowPunct/>
      <w:adjustRightInd w:val="0"/>
      <w:snapToGrid/>
      <w:spacing w:before="156" w:beforeLines="50" w:after="0" w:line="360" w:lineRule="auto"/>
      <w:ind w:left="0" w:firstLine="0"/>
      <w:jc w:val="center"/>
      <w:textAlignment w:val="baseline"/>
    </w:pPr>
    <w:rPr>
      <w:rFonts w:eastAsia="宋体"/>
      <w:b w:val="0"/>
      <w:bCs w:val="0"/>
      <w:color w:val="auto"/>
      <w:sz w:val="24"/>
      <w:szCs w:val="24"/>
    </w:rPr>
  </w:style>
  <w:style w:type="character" w:customStyle="1" w:styleId="252">
    <w:name w:val="脚注文本 字符1"/>
    <w:basedOn w:val="51"/>
    <w:autoRedefine/>
    <w:qFormat/>
    <w:uiPriority w:val="0"/>
    <w:rPr>
      <w:rFonts w:ascii="Times New Roman" w:hAnsi="Times New Roman" w:eastAsia="宋体" w:cs="Times New Roman"/>
      <w:sz w:val="18"/>
      <w:szCs w:val="18"/>
    </w:rPr>
  </w:style>
  <w:style w:type="paragraph" w:customStyle="1" w:styleId="253">
    <w:name w:val="样式 cucd-0 + (西文) Arial (中文) 仿宋_GB2312"/>
    <w:basedOn w:val="239"/>
    <w:autoRedefine/>
    <w:qFormat/>
    <w:uiPriority w:val="0"/>
    <w:rPr>
      <w:rFonts w:ascii="Arial" w:hAnsi="Arial" w:eastAsia="仿宋_GB2312"/>
      <w:sz w:val="28"/>
    </w:rPr>
  </w:style>
  <w:style w:type="paragraph" w:customStyle="1" w:styleId="254">
    <w:name w:val="新标题1"/>
    <w:autoRedefine/>
    <w:qFormat/>
    <w:uiPriority w:val="0"/>
    <w:pPr>
      <w:outlineLvl w:val="0"/>
    </w:pPr>
    <w:rPr>
      <w:rFonts w:ascii="黑体" w:hAnsi="Times New Roman" w:eastAsia="黑体" w:cs="Times New Roman"/>
      <w:b/>
      <w:kern w:val="2"/>
      <w:sz w:val="28"/>
      <w:szCs w:val="52"/>
      <w:lang w:val="en-US" w:eastAsia="zh-CN" w:bidi="ar-SA"/>
    </w:rPr>
  </w:style>
  <w:style w:type="paragraph" w:customStyle="1" w:styleId="255">
    <w:name w:val="_Style 232"/>
    <w:basedOn w:val="1"/>
    <w:next w:val="1"/>
    <w:autoRedefine/>
    <w:qFormat/>
    <w:uiPriority w:val="0"/>
    <w:pPr>
      <w:ind w:left="3360" w:leftChars="1600"/>
    </w:pPr>
  </w:style>
  <w:style w:type="paragraph" w:customStyle="1" w:styleId="256">
    <w:name w:val="Char4 Char Char Char Char Char Char11"/>
    <w:basedOn w:val="1"/>
    <w:autoRedefine/>
    <w:qFormat/>
    <w:uiPriority w:val="0"/>
    <w:pPr>
      <w:spacing w:line="360" w:lineRule="auto"/>
      <w:ind w:firstLine="200" w:firstLineChars="200"/>
    </w:pPr>
    <w:rPr>
      <w:rFonts w:ascii="宋体" w:hAnsi="宋体" w:cs="宋体"/>
      <w:sz w:val="24"/>
    </w:rPr>
  </w:style>
  <w:style w:type="paragraph" w:customStyle="1" w:styleId="257">
    <w:name w:val="新标题2"/>
    <w:autoRedefine/>
    <w:qFormat/>
    <w:uiPriority w:val="0"/>
    <w:pPr>
      <w:widowControl w:val="0"/>
      <w:spacing w:line="360" w:lineRule="auto"/>
      <w:jc w:val="both"/>
      <w:outlineLvl w:val="1"/>
    </w:pPr>
    <w:rPr>
      <w:rFonts w:ascii="宋体" w:hAnsi="宋体" w:eastAsia="宋体" w:cs="Times New Roman"/>
      <w:kern w:val="2"/>
      <w:sz w:val="24"/>
      <w:szCs w:val="24"/>
      <w:lang w:val="en-US" w:eastAsia="zh-CN" w:bidi="ar-SA"/>
    </w:rPr>
  </w:style>
  <w:style w:type="paragraph" w:customStyle="1" w:styleId="258">
    <w:name w:val="正文文字2"/>
    <w:basedOn w:val="1"/>
    <w:autoRedefine/>
    <w:qFormat/>
    <w:uiPriority w:val="0"/>
    <w:pPr>
      <w:adjustRightInd w:val="0"/>
      <w:snapToGrid w:val="0"/>
      <w:spacing w:line="360" w:lineRule="auto"/>
      <w:ind w:firstLine="480" w:firstLineChars="200"/>
    </w:pPr>
    <w:rPr>
      <w:color w:val="000000"/>
      <w:kern w:val="0"/>
      <w:sz w:val="24"/>
      <w:szCs w:val="20"/>
    </w:rPr>
  </w:style>
  <w:style w:type="paragraph" w:customStyle="1" w:styleId="259">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260">
    <w:name w:val="图表文字注释"/>
    <w:autoRedefine/>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paragraph" w:customStyle="1" w:styleId="261">
    <w:name w:val="目录标题"/>
    <w:basedOn w:val="1"/>
    <w:next w:val="1"/>
    <w:autoRedefine/>
    <w:qFormat/>
    <w:uiPriority w:val="0"/>
    <w:pPr>
      <w:spacing w:before="120" w:line="360" w:lineRule="auto"/>
      <w:jc w:val="left"/>
      <w:outlineLvl w:val="0"/>
    </w:pPr>
    <w:rPr>
      <w:rFonts w:ascii="Arial" w:hAnsi="Arial" w:eastAsia="黑体" w:cs="Arial"/>
      <w:b/>
      <w:bCs/>
      <w:sz w:val="28"/>
      <w:szCs w:val="32"/>
    </w:rPr>
  </w:style>
  <w:style w:type="paragraph" w:customStyle="1" w:styleId="262">
    <w:name w:val="表格1"/>
    <w:basedOn w:val="1"/>
    <w:autoRedefine/>
    <w:qFormat/>
    <w:uiPriority w:val="0"/>
    <w:pPr>
      <w:adjustRightInd w:val="0"/>
      <w:spacing w:before="160" w:line="400" w:lineRule="exact"/>
      <w:textAlignment w:val="baseline"/>
    </w:pPr>
    <w:rPr>
      <w:rFonts w:ascii="仿宋_GB2312"/>
      <w:spacing w:val="20"/>
      <w:kern w:val="0"/>
      <w:sz w:val="24"/>
      <w:szCs w:val="20"/>
    </w:rPr>
  </w:style>
  <w:style w:type="paragraph" w:customStyle="1" w:styleId="263">
    <w:name w:val="char"/>
    <w:basedOn w:val="1"/>
    <w:autoRedefine/>
    <w:qFormat/>
    <w:uiPriority w:val="0"/>
    <w:pPr>
      <w:widowControl/>
      <w:spacing w:after="160" w:line="240" w:lineRule="exact"/>
      <w:jc w:val="left"/>
    </w:pPr>
  </w:style>
  <w:style w:type="paragraph" w:customStyle="1" w:styleId="264">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6">
    <w:name w:val="Char Char Char"/>
    <w:basedOn w:val="1"/>
    <w:autoRedefine/>
    <w:qFormat/>
    <w:uiPriority w:val="0"/>
    <w:pPr>
      <w:spacing w:line="360" w:lineRule="auto"/>
      <w:ind w:firstLine="200" w:firstLineChars="200"/>
    </w:pPr>
    <w:rPr>
      <w:rFonts w:ascii="宋体" w:hAnsi="宋体"/>
      <w:sz w:val="24"/>
      <w:szCs w:val="20"/>
    </w:rPr>
  </w:style>
  <w:style w:type="paragraph" w:customStyle="1" w:styleId="267">
    <w:name w:val="zhang正文"/>
    <w:basedOn w:val="25"/>
    <w:autoRedefine/>
    <w:qFormat/>
    <w:uiPriority w:val="0"/>
    <w:pPr>
      <w:autoSpaceDE w:val="0"/>
      <w:autoSpaceDN w:val="0"/>
      <w:adjustRightInd w:val="0"/>
      <w:snapToGrid w:val="0"/>
      <w:spacing w:line="500" w:lineRule="atLeast"/>
      <w:ind w:firstLine="539"/>
    </w:pPr>
    <w:rPr>
      <w:rFonts w:ascii="Calibri" w:hAnsi="Calibri" w:eastAsia="楷体_GB2312"/>
      <w:kern w:val="0"/>
      <w:sz w:val="28"/>
      <w:szCs w:val="20"/>
    </w:rPr>
  </w:style>
  <w:style w:type="paragraph" w:customStyle="1" w:styleId="268">
    <w:name w:val="样式 标题 1 + 行距: 1.5 倍行距"/>
    <w:basedOn w:val="3"/>
    <w:autoRedefine/>
    <w:qFormat/>
    <w:uiPriority w:val="0"/>
    <w:pPr>
      <w:keepLines/>
      <w:overflowPunct/>
      <w:adjustRightInd w:val="0"/>
      <w:snapToGrid/>
      <w:spacing w:before="0" w:after="0" w:line="360" w:lineRule="auto"/>
      <w:ind w:left="0" w:firstLine="0"/>
      <w:jc w:val="left"/>
      <w:textAlignment w:val="baseline"/>
    </w:pPr>
    <w:rPr>
      <w:rFonts w:cs="宋体"/>
      <w:color w:val="auto"/>
      <w:sz w:val="24"/>
      <w:szCs w:val="20"/>
    </w:rPr>
  </w:style>
  <w:style w:type="paragraph" w:customStyle="1" w:styleId="269">
    <w:name w:val="样式2"/>
    <w:basedOn w:val="158"/>
    <w:autoRedefine/>
    <w:qFormat/>
    <w:uiPriority w:val="0"/>
    <w:pPr>
      <w:tabs>
        <w:tab w:val="left" w:pos="900"/>
      </w:tabs>
      <w:spacing w:before="312" w:beforeLines="100" w:after="312" w:afterLines="100" w:line="400" w:lineRule="exact"/>
      <w:ind w:firstLine="0"/>
      <w:jc w:val="center"/>
      <w:outlineLvl w:val="1"/>
    </w:pPr>
    <w:rPr>
      <w:rFonts w:ascii="宋体" w:hAnsi="宋体"/>
      <w:b/>
      <w:bCs/>
      <w:kern w:val="0"/>
      <w:sz w:val="28"/>
      <w:szCs w:val="28"/>
    </w:rPr>
  </w:style>
  <w:style w:type="paragraph" w:customStyle="1" w:styleId="270">
    <w:name w:val="正文缩进1"/>
    <w:basedOn w:val="1"/>
    <w:autoRedefine/>
    <w:qFormat/>
    <w:uiPriority w:val="0"/>
    <w:pPr>
      <w:ind w:firstLine="420" w:firstLineChars="200"/>
    </w:pPr>
  </w:style>
  <w:style w:type="paragraph" w:customStyle="1" w:styleId="271">
    <w:name w:val="样式 样式2 + 段前: 1 行 段后: 1 行"/>
    <w:basedOn w:val="269"/>
    <w:autoRedefine/>
    <w:qFormat/>
    <w:uiPriority w:val="0"/>
    <w:pPr>
      <w:keepNext/>
      <w:keepLines/>
      <w:tabs>
        <w:tab w:val="clear" w:pos="900"/>
      </w:tabs>
    </w:pPr>
    <w:rPr>
      <w:rFonts w:cs="宋体"/>
      <w:szCs w:val="20"/>
    </w:rPr>
  </w:style>
  <w:style w:type="paragraph" w:customStyle="1" w:styleId="272">
    <w:name w:val="Char1 Char Char Char Char Char Char Char Char Char Char Char Char"/>
    <w:basedOn w:val="1"/>
    <w:autoRedefine/>
    <w:qFormat/>
    <w:uiPriority w:val="0"/>
  </w:style>
  <w:style w:type="paragraph" w:customStyle="1" w:styleId="273">
    <w:name w:val="三号开篇"/>
    <w:basedOn w:val="1"/>
    <w:autoRedefine/>
    <w:qFormat/>
    <w:uiPriority w:val="0"/>
    <w:pPr>
      <w:spacing w:line="480" w:lineRule="auto"/>
      <w:ind w:firstLine="200" w:firstLineChars="200"/>
    </w:pPr>
    <w:rPr>
      <w:sz w:val="32"/>
    </w:rPr>
  </w:style>
  <w:style w:type="paragraph" w:customStyle="1" w:styleId="274">
    <w:name w:val="表格后空行"/>
    <w:basedOn w:val="1"/>
    <w:autoRedefine/>
    <w:qFormat/>
    <w:uiPriority w:val="0"/>
    <w:rPr>
      <w:sz w:val="24"/>
    </w:rPr>
  </w:style>
  <w:style w:type="paragraph" w:customStyle="1" w:styleId="275">
    <w:name w:val="Char Char Char Char1"/>
    <w:basedOn w:val="1"/>
    <w:autoRedefine/>
    <w:qFormat/>
    <w:uiPriority w:val="0"/>
    <w:pPr>
      <w:spacing w:line="360" w:lineRule="auto"/>
    </w:pPr>
  </w:style>
  <w:style w:type="paragraph" w:customStyle="1" w:styleId="276">
    <w:name w:val="样式 样式 正文缩进s4 + 首行缩进:  2 字符 + 首行缩进:  2 字符"/>
    <w:basedOn w:val="1"/>
    <w:autoRedefine/>
    <w:qFormat/>
    <w:uiPriority w:val="0"/>
    <w:rPr>
      <w:rFonts w:ascii="宋体" w:hAnsi="宋体"/>
      <w:sz w:val="24"/>
    </w:rPr>
  </w:style>
  <w:style w:type="paragraph" w:customStyle="1" w:styleId="277">
    <w:name w:val="样式5"/>
    <w:basedOn w:val="1"/>
    <w:autoRedefine/>
    <w:qFormat/>
    <w:uiPriority w:val="0"/>
    <w:pPr>
      <w:spacing w:before="156" w:beforeLines="50"/>
    </w:pPr>
    <w:rPr>
      <w:rFonts w:ascii="宋体" w:hAnsi="宋体" w:eastAsia="黑体"/>
      <w:sz w:val="24"/>
    </w:rPr>
  </w:style>
  <w:style w:type="paragraph" w:customStyle="1" w:styleId="278">
    <w:name w:val="标题2"/>
    <w:basedOn w:val="1"/>
    <w:autoRedefine/>
    <w:qFormat/>
    <w:uiPriority w:val="0"/>
    <w:pPr>
      <w:adjustRightInd w:val="0"/>
      <w:snapToGrid w:val="0"/>
      <w:jc w:val="center"/>
    </w:pPr>
    <w:rPr>
      <w:rFonts w:ascii="宋体" w:hAnsi="宋体"/>
      <w:b/>
      <w:color w:val="000000"/>
      <w:sz w:val="24"/>
    </w:rPr>
  </w:style>
  <w:style w:type="paragraph" w:customStyle="1" w:styleId="279">
    <w:name w:val="正文001"/>
    <w:basedOn w:val="1"/>
    <w:autoRedefine/>
    <w:qFormat/>
    <w:uiPriority w:val="0"/>
    <w:pPr>
      <w:spacing w:before="60" w:line="420" w:lineRule="exact"/>
      <w:ind w:firstLine="482"/>
    </w:pPr>
    <w:rPr>
      <w:sz w:val="24"/>
    </w:rPr>
  </w:style>
  <w:style w:type="paragraph" w:customStyle="1" w:styleId="280">
    <w:name w:val="标题4"/>
    <w:basedOn w:val="28"/>
    <w:autoRedefine/>
    <w:qFormat/>
    <w:uiPriority w:val="0"/>
    <w:pPr>
      <w:spacing w:before="60" w:after="60" w:line="324" w:lineRule="auto"/>
      <w:ind w:left="0" w:leftChars="0"/>
      <w:outlineLvl w:val="3"/>
    </w:pPr>
    <w:rPr>
      <w:rFonts w:eastAsia="黑体"/>
      <w:b/>
      <w:bCs/>
      <w:sz w:val="24"/>
    </w:rPr>
  </w:style>
  <w:style w:type="paragraph" w:customStyle="1" w:styleId="281">
    <w:name w:val="Char2"/>
    <w:basedOn w:val="1"/>
    <w:autoRedefine/>
    <w:qFormat/>
    <w:uiPriority w:val="0"/>
    <w:pPr>
      <w:spacing w:line="360" w:lineRule="auto"/>
      <w:ind w:firstLine="200" w:firstLineChars="200"/>
    </w:pPr>
    <w:rPr>
      <w:rFonts w:ascii="宋体" w:hAnsi="宋体" w:cs="宋体"/>
      <w:sz w:val="24"/>
    </w:rPr>
  </w:style>
  <w:style w:type="paragraph" w:customStyle="1" w:styleId="282">
    <w:name w:val="样式 标题 2 + 黑体 小四"/>
    <w:autoRedefine/>
    <w:qFormat/>
    <w:uiPriority w:val="0"/>
    <w:rPr>
      <w:rFonts w:ascii="黑体" w:hAnsi="黑体" w:eastAsia="黑体" w:cs="Times New Roman"/>
      <w:b/>
      <w:bCs/>
      <w:kern w:val="2"/>
      <w:sz w:val="24"/>
      <w:szCs w:val="32"/>
      <w:lang w:val="en-US" w:eastAsia="zh-CN" w:bidi="ar-SA"/>
    </w:rPr>
  </w:style>
  <w:style w:type="character" w:customStyle="1" w:styleId="283">
    <w:name w:val="Char Char Char Char Char"/>
    <w:link w:val="284"/>
    <w:autoRedefine/>
    <w:qFormat/>
    <w:uiPriority w:val="0"/>
    <w:rPr>
      <w:rFonts w:ascii="宋体" w:hAnsi="宋体" w:cs="宋体"/>
      <w:sz w:val="24"/>
      <w:szCs w:val="24"/>
    </w:rPr>
  </w:style>
  <w:style w:type="paragraph" w:customStyle="1" w:styleId="284">
    <w:name w:val="Char Char Char Char2"/>
    <w:basedOn w:val="1"/>
    <w:link w:val="283"/>
    <w:autoRedefine/>
    <w:qFormat/>
    <w:uiPriority w:val="0"/>
    <w:pPr>
      <w:spacing w:line="360" w:lineRule="auto"/>
      <w:ind w:firstLine="200" w:firstLineChars="200"/>
    </w:pPr>
    <w:rPr>
      <w:rFonts w:ascii="宋体" w:hAnsi="宋体" w:cs="宋体" w:eastAsiaTheme="minorEastAsia"/>
      <w:sz w:val="24"/>
    </w:rPr>
  </w:style>
  <w:style w:type="character" w:customStyle="1" w:styleId="285">
    <w:name w:val="sb-正文 Char"/>
    <w:link w:val="286"/>
    <w:autoRedefine/>
    <w:qFormat/>
    <w:uiPriority w:val="0"/>
    <w:rPr>
      <w:rFonts w:ascii="仿宋_GB2312" w:eastAsia="仿宋_GB2312" w:cs="宋体"/>
      <w:spacing w:val="-2"/>
      <w:sz w:val="24"/>
      <w:szCs w:val="30"/>
    </w:rPr>
  </w:style>
  <w:style w:type="paragraph" w:customStyle="1" w:styleId="286">
    <w:name w:val="sb-正文"/>
    <w:basedOn w:val="1"/>
    <w:link w:val="285"/>
    <w:autoRedefine/>
    <w:qFormat/>
    <w:uiPriority w:val="0"/>
    <w:pPr>
      <w:spacing w:line="360" w:lineRule="auto"/>
      <w:ind w:firstLine="200" w:firstLineChars="200"/>
    </w:pPr>
    <w:rPr>
      <w:rFonts w:ascii="仿宋_GB2312" w:eastAsia="仿宋_GB2312" w:cs="宋体" w:hAnsiTheme="minorHAnsi"/>
      <w:spacing w:val="-2"/>
      <w:sz w:val="24"/>
      <w:szCs w:val="30"/>
    </w:rPr>
  </w:style>
  <w:style w:type="paragraph" w:customStyle="1" w:styleId="287">
    <w:name w:val="列出段落1"/>
    <w:basedOn w:val="1"/>
    <w:autoRedefine/>
    <w:qFormat/>
    <w:uiPriority w:val="34"/>
    <w:pPr>
      <w:ind w:firstLine="420" w:firstLineChars="200"/>
    </w:pPr>
  </w:style>
  <w:style w:type="character" w:customStyle="1" w:styleId="288">
    <w:name w:val="font31"/>
    <w:basedOn w:val="51"/>
    <w:autoRedefine/>
    <w:qFormat/>
    <w:uiPriority w:val="0"/>
    <w:rPr>
      <w:rFonts w:hint="default" w:ascii="Times New Roman" w:hAnsi="Times New Roman" w:cs="Times New Roman"/>
      <w:color w:val="000000"/>
      <w:sz w:val="20"/>
      <w:szCs w:val="20"/>
      <w:u w:val="none"/>
    </w:rPr>
  </w:style>
  <w:style w:type="character" w:customStyle="1" w:styleId="289">
    <w:name w:val="Char Char Char Char Char1"/>
    <w:link w:val="290"/>
    <w:autoRedefine/>
    <w:qFormat/>
    <w:uiPriority w:val="0"/>
    <w:rPr>
      <w:rFonts w:ascii="宋体" w:hAnsi="宋体" w:cs="宋体"/>
      <w:sz w:val="24"/>
      <w:szCs w:val="24"/>
    </w:rPr>
  </w:style>
  <w:style w:type="paragraph" w:customStyle="1" w:styleId="290">
    <w:name w:val="Char Char Char Char3"/>
    <w:basedOn w:val="1"/>
    <w:link w:val="289"/>
    <w:autoRedefine/>
    <w:qFormat/>
    <w:uiPriority w:val="0"/>
    <w:pPr>
      <w:spacing w:line="360" w:lineRule="auto"/>
      <w:ind w:firstLine="200" w:firstLineChars="200"/>
    </w:pPr>
    <w:rPr>
      <w:rFonts w:ascii="宋体" w:hAnsi="宋体" w:cs="宋体" w:eastAsiaTheme="minorEastAsia"/>
      <w:sz w:val="24"/>
    </w:rPr>
  </w:style>
  <w:style w:type="character" w:customStyle="1" w:styleId="291">
    <w:name w:val="表格样式 Char"/>
    <w:link w:val="292"/>
    <w:autoRedefine/>
    <w:qFormat/>
    <w:uiPriority w:val="0"/>
    <w:rPr>
      <w:rFonts w:ascii="宋体" w:hAnsi="宋体"/>
      <w:color w:val="000000"/>
      <w:szCs w:val="21"/>
    </w:rPr>
  </w:style>
  <w:style w:type="paragraph" w:customStyle="1" w:styleId="292">
    <w:name w:val="表格样式"/>
    <w:basedOn w:val="293"/>
    <w:link w:val="291"/>
    <w:autoRedefine/>
    <w:qFormat/>
    <w:uiPriority w:val="0"/>
    <w:pPr>
      <w:spacing w:line="240" w:lineRule="auto"/>
      <w:ind w:firstLine="0" w:firstLineChars="0"/>
    </w:pPr>
    <w:rPr>
      <w:rFonts w:ascii="宋体" w:hAnsi="宋体" w:cstheme="minorBidi"/>
      <w:sz w:val="21"/>
      <w:szCs w:val="21"/>
    </w:rPr>
  </w:style>
  <w:style w:type="paragraph" w:customStyle="1" w:styleId="293">
    <w:name w:val="正文段落"/>
    <w:basedOn w:val="47"/>
    <w:link w:val="294"/>
    <w:autoRedefine/>
    <w:qFormat/>
    <w:uiPriority w:val="0"/>
    <w:pPr>
      <w:adjustRightInd w:val="0"/>
      <w:snapToGrid w:val="0"/>
      <w:spacing w:line="360" w:lineRule="auto"/>
      <w:ind w:firstLine="200" w:firstLineChars="200"/>
    </w:pPr>
    <w:rPr>
      <w:rFonts w:ascii="仿宋_GB2312" w:hAnsi="仿宋_GB2312" w:cs="仿宋_GB2312" w:eastAsiaTheme="minorEastAsia"/>
      <w:sz w:val="28"/>
      <w:szCs w:val="28"/>
    </w:rPr>
  </w:style>
  <w:style w:type="character" w:customStyle="1" w:styleId="294">
    <w:name w:val="正文段落 Char"/>
    <w:link w:val="293"/>
    <w:autoRedefine/>
    <w:qFormat/>
    <w:uiPriority w:val="0"/>
    <w:rPr>
      <w:rFonts w:ascii="仿宋_GB2312" w:hAnsi="仿宋_GB2312" w:cs="仿宋_GB2312"/>
      <w:sz w:val="28"/>
      <w:szCs w:val="28"/>
    </w:rPr>
  </w:style>
  <w:style w:type="character" w:customStyle="1" w:styleId="295">
    <w:name w:val="表格标题 Char"/>
    <w:link w:val="251"/>
    <w:autoRedefine/>
    <w:qFormat/>
    <w:uiPriority w:val="0"/>
    <w:rPr>
      <w:rFonts w:ascii="Times New Roman" w:hAnsi="Times New Roman" w:eastAsia="宋体" w:cs="Times New Roman"/>
      <w:kern w:val="44"/>
      <w:sz w:val="24"/>
      <w:szCs w:val="24"/>
    </w:rPr>
  </w:style>
  <w:style w:type="character" w:customStyle="1" w:styleId="296">
    <w:name w:val="正文文本 Char2"/>
    <w:autoRedefine/>
    <w:qFormat/>
    <w:locked/>
    <w:uiPriority w:val="0"/>
    <w:rPr>
      <w:rFonts w:ascii="宋体" w:hAnsi="宋体" w:eastAsia="宋体"/>
      <w:sz w:val="24"/>
      <w:szCs w:val="24"/>
      <w:lang w:val="en-US" w:eastAsia="zh-CN" w:bidi="ar-SA"/>
    </w:rPr>
  </w:style>
  <w:style w:type="character" w:customStyle="1" w:styleId="297">
    <w:name w:val="正文文本 Char1"/>
    <w:autoRedefine/>
    <w:qFormat/>
    <w:uiPriority w:val="0"/>
    <w:rPr>
      <w:kern w:val="2"/>
      <w:sz w:val="21"/>
      <w:szCs w:val="24"/>
    </w:rPr>
  </w:style>
  <w:style w:type="paragraph" w:customStyle="1" w:styleId="298">
    <w:name w:val="大风丫口正文"/>
    <w:basedOn w:val="1"/>
    <w:autoRedefine/>
    <w:qFormat/>
    <w:uiPriority w:val="0"/>
    <w:pPr>
      <w:spacing w:line="360" w:lineRule="auto"/>
      <w:ind w:firstLine="200" w:firstLineChars="200"/>
    </w:pPr>
    <w:rPr>
      <w:spacing w:val="10"/>
      <w:sz w:val="24"/>
    </w:rPr>
  </w:style>
  <w:style w:type="paragraph" w:customStyle="1" w:styleId="299">
    <w:name w:val="Char Char Char Char4"/>
    <w:basedOn w:val="1"/>
    <w:autoRedefine/>
    <w:qFormat/>
    <w:uiPriority w:val="0"/>
    <w:pPr>
      <w:spacing w:line="360" w:lineRule="auto"/>
      <w:ind w:firstLine="200" w:firstLineChars="200"/>
    </w:pPr>
    <w:rPr>
      <w:rFonts w:ascii="宋体" w:hAnsi="宋体" w:cs="宋体"/>
      <w:sz w:val="24"/>
    </w:rPr>
  </w:style>
  <w:style w:type="character" w:customStyle="1" w:styleId="300">
    <w:name w:val="NormalCharacter"/>
    <w:autoRedefine/>
    <w:qFormat/>
    <w:uiPriority w:val="0"/>
  </w:style>
  <w:style w:type="paragraph" w:customStyle="1" w:styleId="301">
    <w:name w:val="报告正文"/>
    <w:basedOn w:val="15"/>
    <w:next w:val="1"/>
    <w:autoRedefine/>
    <w:qFormat/>
    <w:uiPriority w:val="99"/>
    <w:pPr>
      <w:snapToGrid w:val="0"/>
      <w:spacing w:before="120" w:line="360" w:lineRule="auto"/>
      <w:ind w:firstLine="200"/>
    </w:pPr>
    <w:rPr>
      <w:rFonts w:ascii="Times New Roman" w:hAnsi="Times New Roman" w:eastAsia="宋体" w:cs="Times New Roman"/>
      <w:kern w:val="44"/>
      <w:sz w:val="24"/>
    </w:rPr>
  </w:style>
  <w:style w:type="paragraph" w:customStyle="1" w:styleId="302">
    <w:name w:val="SB·正文"/>
    <w:basedOn w:val="1"/>
    <w:autoRedefine/>
    <w:qFormat/>
    <w:uiPriority w:val="0"/>
    <w:pPr>
      <w:spacing w:line="360" w:lineRule="auto"/>
      <w:ind w:firstLine="480" w:firstLineChars="200"/>
    </w:pPr>
    <w:rPr>
      <w:rFonts w:eastAsia="仿宋_GB2312"/>
      <w:kern w:val="0"/>
      <w:sz w:val="24"/>
      <w:szCs w:val="20"/>
    </w:rPr>
  </w:style>
  <w:style w:type="paragraph" w:customStyle="1" w:styleId="303">
    <w:name w:val="正文txl"/>
    <w:basedOn w:val="1"/>
    <w:autoRedefine/>
    <w:qFormat/>
    <w:uiPriority w:val="0"/>
    <w:pPr>
      <w:adjustRightInd w:val="0"/>
      <w:snapToGrid w:val="0"/>
      <w:spacing w:line="360" w:lineRule="auto"/>
      <w:ind w:firstLine="200" w:firstLineChars="200"/>
    </w:pPr>
    <w:rPr>
      <w:sz w:val="24"/>
    </w:rPr>
  </w:style>
  <w:style w:type="paragraph" w:customStyle="1" w:styleId="304">
    <w:name w:val="文章正文"/>
    <w:basedOn w:val="1"/>
    <w:autoRedefine/>
    <w:qFormat/>
    <w:uiPriority w:val="0"/>
    <w:pPr>
      <w:spacing w:line="360" w:lineRule="auto"/>
      <w:ind w:left="420" w:leftChars="200" w:firstLine="560" w:firstLineChars="200"/>
    </w:pPr>
    <w:rPr>
      <w:rFonts w:ascii="宋体" w:hAnsi="宋体"/>
      <w:sz w:val="28"/>
    </w:rPr>
  </w:style>
  <w:style w:type="character" w:customStyle="1" w:styleId="305">
    <w:name w:val="font41"/>
    <w:basedOn w:val="51"/>
    <w:autoRedefine/>
    <w:qFormat/>
    <w:uiPriority w:val="0"/>
    <w:rPr>
      <w:rFonts w:hint="eastAsia" w:ascii="宋体" w:hAnsi="宋体" w:eastAsia="宋体" w:cs="宋体"/>
      <w:b/>
      <w:color w:val="000000"/>
      <w:sz w:val="24"/>
      <w:szCs w:val="24"/>
      <w:u w:val="none"/>
    </w:rPr>
  </w:style>
  <w:style w:type="character" w:customStyle="1" w:styleId="306">
    <w:name w:val="font101"/>
    <w:basedOn w:val="51"/>
    <w:autoRedefine/>
    <w:qFormat/>
    <w:uiPriority w:val="0"/>
    <w:rPr>
      <w:rFonts w:hint="default" w:ascii="Times New Roman" w:hAnsi="Times New Roman" w:cs="Times New Roman"/>
      <w:i/>
      <w:color w:val="000000"/>
      <w:sz w:val="24"/>
      <w:szCs w:val="24"/>
    </w:rPr>
  </w:style>
  <w:style w:type="character" w:customStyle="1" w:styleId="307">
    <w:name w:val="font01"/>
    <w:basedOn w:val="51"/>
    <w:autoRedefine/>
    <w:qFormat/>
    <w:uiPriority w:val="0"/>
    <w:rPr>
      <w:rFonts w:hint="eastAsia" w:ascii="宋体" w:hAnsi="宋体" w:eastAsia="宋体" w:cs="宋体"/>
      <w:color w:val="000000"/>
      <w:sz w:val="22"/>
      <w:szCs w:val="22"/>
      <w:u w:val="none"/>
    </w:rPr>
  </w:style>
  <w:style w:type="character" w:customStyle="1" w:styleId="308">
    <w:name w:val="font161"/>
    <w:basedOn w:val="51"/>
    <w:autoRedefine/>
    <w:qFormat/>
    <w:uiPriority w:val="0"/>
    <w:rPr>
      <w:rFonts w:hint="default" w:ascii="Times New Roman" w:hAnsi="Times New Roman" w:cs="Times New Roman"/>
      <w:color w:val="000000"/>
      <w:sz w:val="24"/>
      <w:szCs w:val="24"/>
    </w:rPr>
  </w:style>
  <w:style w:type="character" w:customStyle="1" w:styleId="309">
    <w:name w:val="font51"/>
    <w:basedOn w:val="51"/>
    <w:autoRedefine/>
    <w:qFormat/>
    <w:uiPriority w:val="0"/>
    <w:rPr>
      <w:rFonts w:hint="default" w:ascii="Times New Roman" w:hAnsi="Times New Roman" w:cs="Times New Roman"/>
      <w:color w:val="000000"/>
      <w:sz w:val="21"/>
      <w:szCs w:val="21"/>
      <w:u w:val="none"/>
    </w:rPr>
  </w:style>
  <w:style w:type="paragraph" w:customStyle="1" w:styleId="310">
    <w:name w:val="表格居中"/>
    <w:basedOn w:val="1"/>
    <w:next w:val="1"/>
    <w:autoRedefine/>
    <w:qFormat/>
    <w:uiPriority w:val="0"/>
    <w:pPr>
      <w:tabs>
        <w:tab w:val="left" w:pos="4144"/>
      </w:tabs>
      <w:overflowPunct w:val="0"/>
      <w:ind w:left="-119" w:right="-115" w:rightChars="-48" w:firstLine="0" w:firstLineChars="0"/>
      <w:jc w:val="center"/>
    </w:pPr>
    <w:rPr>
      <w:rFonts w:ascii="宋体" w:hAnsi="宋体"/>
      <w:sz w:val="18"/>
      <w:szCs w:val="18"/>
    </w:rPr>
  </w:style>
  <w:style w:type="character" w:customStyle="1" w:styleId="311">
    <w:name w:val="font61"/>
    <w:basedOn w:val="51"/>
    <w:autoRedefine/>
    <w:qFormat/>
    <w:uiPriority w:val="0"/>
    <w:rPr>
      <w:rFonts w:hint="default" w:ascii="Times New Roman" w:hAnsi="Times New Roman" w:cs="Times New Roman"/>
      <w:color w:val="000000"/>
      <w:sz w:val="21"/>
      <w:szCs w:val="21"/>
      <w:u w:val="none"/>
      <w:vertAlign w:val="superscript"/>
    </w:rPr>
  </w:style>
  <w:style w:type="paragraph" w:customStyle="1" w:styleId="312">
    <w:name w:val="正文（报告表）_"/>
    <w:basedOn w:val="1"/>
    <w:autoRedefine/>
    <w:qFormat/>
    <w:uiPriority w:val="0"/>
    <w:pPr>
      <w:spacing w:line="400" w:lineRule="atLeast"/>
      <w:ind w:firstLine="200" w:firstLineChars="200"/>
    </w:pPr>
    <w:rPr>
      <w:sz w:val="24"/>
    </w:rPr>
  </w:style>
  <w:style w:type="paragraph" w:customStyle="1" w:styleId="313">
    <w:name w:val="1_"/>
    <w:basedOn w:val="3"/>
    <w:autoRedefine/>
    <w:qFormat/>
    <w:uiPriority w:val="0"/>
    <w:pPr>
      <w:keepLines/>
      <w:overflowPunct/>
      <w:snapToGrid/>
      <w:spacing w:before="600" w:after="600" w:line="400" w:lineRule="atLeast"/>
      <w:ind w:left="0" w:firstLine="0"/>
      <w:jc w:val="center"/>
    </w:pPr>
    <w:rPr>
      <w:color w:val="auto"/>
    </w:rPr>
  </w:style>
  <w:style w:type="paragraph" w:customStyle="1" w:styleId="314">
    <w:name w:val="1.1_"/>
    <w:basedOn w:val="1"/>
    <w:autoRedefine/>
    <w:qFormat/>
    <w:uiPriority w:val="0"/>
    <w:pPr>
      <w:spacing w:before="360" w:after="360" w:line="400" w:lineRule="atLeast"/>
      <w:outlineLvl w:val="1"/>
    </w:pPr>
    <w:rPr>
      <w:rFonts w:eastAsia="黑体"/>
      <w:kern w:val="0"/>
      <w:sz w:val="28"/>
      <w:szCs w:val="28"/>
    </w:rPr>
  </w:style>
  <w:style w:type="paragraph" w:customStyle="1" w:styleId="315">
    <w:name w:val="1.1.1_"/>
    <w:basedOn w:val="1"/>
    <w:autoRedefine/>
    <w:qFormat/>
    <w:uiPriority w:val="0"/>
    <w:pPr>
      <w:spacing w:before="240" w:after="240" w:line="400" w:lineRule="atLeast"/>
      <w:outlineLvl w:val="2"/>
    </w:pPr>
    <w:rPr>
      <w:rFonts w:eastAsia="黑体"/>
      <w:kern w:val="0"/>
      <w:sz w:val="28"/>
      <w:szCs w:val="28"/>
    </w:rPr>
  </w:style>
  <w:style w:type="paragraph" w:customStyle="1" w:styleId="316">
    <w:name w:val="gf正文"/>
    <w:basedOn w:val="1"/>
    <w:autoRedefine/>
    <w:qFormat/>
    <w:uiPriority w:val="0"/>
    <w:pPr>
      <w:adjustRightInd w:val="0"/>
      <w:snapToGrid w:val="0"/>
      <w:spacing w:line="520" w:lineRule="exact"/>
      <w:ind w:firstLine="200" w:firstLineChars="200"/>
    </w:pPr>
    <w:rPr>
      <w:sz w:val="24"/>
      <w:szCs w:val="20"/>
    </w:rPr>
  </w:style>
  <w:style w:type="paragraph" w:customStyle="1" w:styleId="317">
    <w:name w:val="内容"/>
    <w:basedOn w:val="1"/>
    <w:autoRedefine/>
    <w:qFormat/>
    <w:uiPriority w:val="0"/>
    <w:pPr>
      <w:adjustRightInd w:val="0"/>
      <w:snapToGrid w:val="0"/>
      <w:spacing w:before="156" w:beforeLines="50" w:line="360" w:lineRule="auto"/>
      <w:ind w:firstLine="200" w:firstLineChars="200"/>
      <w:textAlignment w:val="center"/>
    </w:pPr>
    <w:rPr>
      <w:rFonts w:eastAsia="仿宋"/>
      <w:color w:val="000000"/>
      <w:sz w:val="28"/>
      <w:szCs w:val="28"/>
    </w:rPr>
  </w:style>
  <w:style w:type="table" w:customStyle="1" w:styleId="318">
    <w:name w:val="Table Normal"/>
    <w:autoRedefine/>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319">
    <w:name w:val="font11"/>
    <w:basedOn w:val="51"/>
    <w:autoRedefine/>
    <w:qFormat/>
    <w:uiPriority w:val="0"/>
    <w:rPr>
      <w:rFonts w:hint="eastAsia" w:ascii="宋体" w:hAnsi="宋体" w:eastAsia="宋体" w:cs="宋体"/>
      <w:color w:val="000000"/>
      <w:sz w:val="21"/>
      <w:szCs w:val="21"/>
      <w:u w:val="none"/>
    </w:rPr>
  </w:style>
  <w:style w:type="character" w:customStyle="1" w:styleId="320">
    <w:name w:val="font21"/>
    <w:basedOn w:val="51"/>
    <w:autoRedefine/>
    <w:qFormat/>
    <w:uiPriority w:val="0"/>
    <w:rPr>
      <w:rFonts w:hint="eastAsia" w:ascii="宋体" w:hAnsi="宋体" w:eastAsia="宋体" w:cs="宋体"/>
      <w:color w:val="000000"/>
      <w:sz w:val="21"/>
      <w:szCs w:val="21"/>
      <w:u w:val="none"/>
    </w:rPr>
  </w:style>
  <w:style w:type="character" w:customStyle="1" w:styleId="321">
    <w:name w:val="表格正文 Char"/>
    <w:basedOn w:val="51"/>
    <w:autoRedefine/>
    <w:qFormat/>
    <w:uiPriority w:val="0"/>
    <w:rPr>
      <w:rFonts w:eastAsia="宋体"/>
      <w:sz w:val="24"/>
      <w:lang w:val="en-US" w:eastAsia="zh-CN" w:bidi="ar-SA"/>
    </w:rPr>
  </w:style>
  <w:style w:type="paragraph" w:customStyle="1" w:styleId="322">
    <w:name w:val="Table Text"/>
    <w:basedOn w:val="1"/>
    <w:autoRedefine/>
    <w:semiHidden/>
    <w:qFormat/>
    <w:uiPriority w:val="0"/>
    <w:rPr>
      <w:rFonts w:ascii="Times New Roman" w:hAnsi="Times New Roman" w:eastAsia="Times New Roman" w:cs="Times New Roman"/>
      <w:sz w:val="21"/>
      <w:szCs w:val="21"/>
      <w:lang w:val="en-US" w:eastAsia="en-US" w:bidi="ar-SA"/>
    </w:rPr>
  </w:style>
  <w:style w:type="paragraph" w:customStyle="1" w:styleId="323">
    <w:name w:val="表格缩进"/>
    <w:basedOn w:val="63"/>
    <w:autoRedefine/>
    <w:qFormat/>
    <w:uiPriority w:val="0"/>
    <w:pPr>
      <w:snapToGrid w:val="0"/>
      <w:ind w:left="-50" w:leftChars="-50" w:right="-50" w:rightChars="-50"/>
    </w:pPr>
  </w:style>
  <w:style w:type="character" w:customStyle="1" w:styleId="324">
    <w:name w:val="新标题2 Char"/>
    <w:basedOn w:val="51"/>
    <w:autoRedefine/>
    <w:qFormat/>
    <w:uiPriority w:val="0"/>
    <w:rPr>
      <w:rFonts w:ascii="宋体" w:hAnsi="宋体" w:eastAsia="宋体"/>
      <w:kern w:val="2"/>
      <w:sz w:val="24"/>
      <w:szCs w:val="24"/>
      <w:lang w:val="en-US" w:eastAsia="zh-CN" w:bidi="ar-SA"/>
    </w:rPr>
  </w:style>
  <w:style w:type="paragraph" w:customStyle="1" w:styleId="325">
    <w:name w:val="表内1"/>
    <w:basedOn w:val="1"/>
    <w:qFormat/>
    <w:uiPriority w:val="0"/>
    <w:pPr>
      <w:autoSpaceDE w:val="0"/>
      <w:autoSpaceDN w:val="0"/>
      <w:adjustRightInd w:val="0"/>
      <w:snapToGrid w:val="0"/>
      <w:spacing w:line="240" w:lineRule="auto"/>
      <w:ind w:firstLine="0" w:firstLineChars="0"/>
    </w:pPr>
    <w:rPr>
      <w:rFonts w:cs="宋体"/>
      <w:spacing w:val="20"/>
      <w:kern w:val="0"/>
      <w:sz w:val="21"/>
      <w:szCs w:val="21"/>
    </w:rPr>
  </w:style>
  <w:style w:type="paragraph" w:customStyle="1" w:styleId="326">
    <w:name w:val="样式 标题 3 + 首行缩进:  2 字符"/>
    <w:basedOn w:val="5"/>
    <w:qFormat/>
    <w:uiPriority w:val="0"/>
    <w:pPr>
      <w:spacing w:before="0" w:after="0" w:line="360" w:lineRule="auto"/>
      <w:ind w:firstLine="0" w:firstLineChars="0"/>
    </w:pPr>
    <w:rPr>
      <w:rFonts w:ascii="Arial" w:hAnsi="Arial" w:cs="宋体"/>
      <w:sz w:val="24"/>
      <w:szCs w:val="20"/>
    </w:rPr>
  </w:style>
  <w:style w:type="paragraph" w:customStyle="1" w:styleId="327">
    <w:name w:val="图表标题"/>
    <w:basedOn w:val="1"/>
    <w:next w:val="328"/>
    <w:qFormat/>
    <w:uiPriority w:val="0"/>
    <w:pPr>
      <w:autoSpaceDE w:val="0"/>
      <w:autoSpaceDN w:val="0"/>
      <w:adjustRightInd w:val="0"/>
      <w:snapToGrid w:val="0"/>
      <w:spacing w:line="240" w:lineRule="auto"/>
      <w:ind w:firstLine="0" w:firstLineChars="0"/>
      <w:jc w:val="center"/>
    </w:pPr>
    <w:rPr>
      <w:rFonts w:hint="eastAsia" w:cs="宋体"/>
      <w:b/>
      <w:kern w:val="0"/>
      <w:szCs w:val="21"/>
    </w:rPr>
  </w:style>
  <w:style w:type="paragraph" w:customStyle="1" w:styleId="328">
    <w:name w:val="图表1"/>
    <w:next w:val="1"/>
    <w:qFormat/>
    <w:uiPriority w:val="0"/>
    <w:pPr>
      <w:spacing w:line="240" w:lineRule="atLeast"/>
      <w:jc w:val="center"/>
    </w:pPr>
    <w:rPr>
      <w:rFonts w:ascii="楷体_GB2312" w:hAnsi="Times New Roman" w:eastAsia="楷体_GB2312" w:cs="Times New Roman"/>
      <w:sz w:val="21"/>
      <w:lang w:val="en-US" w:eastAsia="zh-CN" w:bidi="ar-SA"/>
    </w:rPr>
  </w:style>
  <w:style w:type="character" w:customStyle="1" w:styleId="329">
    <w:name w:val="图表上标 Char"/>
    <w:link w:val="330"/>
    <w:qFormat/>
    <w:uiPriority w:val="0"/>
    <w:rPr>
      <w:spacing w:val="23"/>
      <w:kern w:val="0"/>
      <w:sz w:val="21"/>
      <w:szCs w:val="21"/>
      <w:vertAlign w:val="superscript"/>
    </w:rPr>
  </w:style>
  <w:style w:type="paragraph" w:customStyle="1" w:styleId="330">
    <w:name w:val="图表上标"/>
    <w:basedOn w:val="1"/>
    <w:link w:val="329"/>
    <w:qFormat/>
    <w:uiPriority w:val="0"/>
    <w:pPr>
      <w:autoSpaceDE w:val="0"/>
      <w:autoSpaceDN w:val="0"/>
      <w:adjustRightInd w:val="0"/>
      <w:snapToGrid w:val="0"/>
      <w:spacing w:line="240" w:lineRule="auto"/>
      <w:ind w:firstLine="0" w:firstLineChars="0"/>
      <w:jc w:val="center"/>
    </w:pPr>
    <w:rPr>
      <w:spacing w:val="23"/>
      <w:kern w:val="0"/>
      <w:sz w:val="21"/>
      <w:szCs w:val="21"/>
      <w:vertAlign w:val="superscript"/>
    </w:rPr>
  </w:style>
  <w:style w:type="paragraph" w:customStyle="1" w:styleId="331">
    <w:name w:val="KM3"/>
    <w:basedOn w:val="5"/>
    <w:next w:val="1"/>
    <w:qFormat/>
    <w:uiPriority w:val="0"/>
    <w:pPr>
      <w:numPr>
        <w:ilvl w:val="2"/>
        <w:numId w:val="1"/>
      </w:numPr>
      <w:tabs>
        <w:tab w:val="left" w:pos="382"/>
        <w:tab w:val="left" w:pos="709"/>
        <w:tab w:val="left" w:pos="2655"/>
        <w:tab w:val="center" w:pos="4889"/>
      </w:tabs>
      <w:spacing w:before="163" w:beforeLines="50" w:after="163" w:afterLines="50" w:line="360" w:lineRule="auto"/>
    </w:pPr>
    <w:rPr>
      <w:rFonts w:ascii="黑体" w:hAnsi="黑体" w:eastAsia="黑体" w:cs="宋体"/>
      <w:snapToGrid w:val="0"/>
      <w:kern w:val="44"/>
    </w:rPr>
  </w:style>
  <w:style w:type="paragraph" w:customStyle="1" w:styleId="332">
    <w:name w:val="5正文"/>
    <w:basedOn w:val="1"/>
    <w:qFormat/>
    <w:uiPriority w:val="0"/>
    <w:pPr>
      <w:autoSpaceDE w:val="0"/>
      <w:autoSpaceDN w:val="0"/>
      <w:adjustRightInd w:val="0"/>
      <w:snapToGrid w:val="0"/>
      <w:spacing w:line="500" w:lineRule="exact"/>
      <w:ind w:firstLine="536" w:firstLineChars="200"/>
    </w:pPr>
    <w:rPr>
      <w:rFonts w:ascii="Times New Roman" w:hAnsi="Times New Roman" w:eastAsia="仿宋_GB2312"/>
      <w:spacing w:val="-6"/>
      <w:kern w:val="16"/>
      <w:sz w:val="28"/>
      <w:szCs w:val="28"/>
    </w:rPr>
  </w:style>
  <w:style w:type="character" w:customStyle="1" w:styleId="333">
    <w:name w:val="正文下标 Char"/>
    <w:link w:val="334"/>
    <w:qFormat/>
    <w:uiPriority w:val="0"/>
    <w:rPr>
      <w:vertAlign w:val="subscript"/>
    </w:rPr>
  </w:style>
  <w:style w:type="paragraph" w:customStyle="1" w:styleId="334">
    <w:name w:val="正文下标"/>
    <w:basedOn w:val="1"/>
    <w:link w:val="333"/>
    <w:qFormat/>
    <w:uiPriority w:val="0"/>
    <w:rPr>
      <w:vertAlign w:val="subscript"/>
    </w:rPr>
  </w:style>
  <w:style w:type="paragraph" w:styleId="335">
    <w:name w:val="List Paragraph"/>
    <w:basedOn w:val="1"/>
    <w:qFormat/>
    <w:uiPriority w:val="1"/>
    <w:pPr>
      <w:ind w:left="1300" w:hanging="509"/>
    </w:pPr>
    <w:rPr>
      <w:rFonts w:ascii="宋体" w:hAnsi="宋体" w:cs="宋体"/>
      <w:lang w:val="zh-CN" w:bidi="zh-CN"/>
    </w:rPr>
  </w:style>
  <w:style w:type="character" w:customStyle="1" w:styleId="336">
    <w:name w:val="正文上标 Char"/>
    <w:link w:val="337"/>
    <w:qFormat/>
    <w:uiPriority w:val="0"/>
    <w:rPr>
      <w:bCs/>
      <w:kern w:val="44"/>
      <w:szCs w:val="30"/>
      <w:vertAlign w:val="superscript"/>
    </w:rPr>
  </w:style>
  <w:style w:type="paragraph" w:customStyle="1" w:styleId="337">
    <w:name w:val="正文上标"/>
    <w:basedOn w:val="1"/>
    <w:link w:val="336"/>
    <w:qFormat/>
    <w:uiPriority w:val="0"/>
    <w:pPr>
      <w:keepNext/>
      <w:overflowPunct w:val="0"/>
      <w:adjustRightInd w:val="0"/>
      <w:snapToGrid w:val="0"/>
      <w:ind w:firstLine="0" w:firstLineChars="0"/>
      <w:jc w:val="left"/>
    </w:pPr>
    <w:rPr>
      <w:bCs/>
      <w:kern w:val="44"/>
      <w:szCs w:val="30"/>
      <w:vertAlign w:val="superscript"/>
    </w:rPr>
  </w:style>
  <w:style w:type="paragraph" w:customStyle="1" w:styleId="338">
    <w:name w:val=" Char Char Char Char"/>
    <w:basedOn w:val="1"/>
    <w:qFormat/>
    <w:uiPriority w:val="0"/>
    <w:pPr>
      <w:spacing w:line="360" w:lineRule="auto"/>
      <w:ind w:firstLine="200" w:firstLineChars="200"/>
    </w:pPr>
    <w:rPr>
      <w:rFonts w:ascii="宋体" w:hAnsi="宋体" w:cs="宋体"/>
      <w:sz w:val="24"/>
    </w:rPr>
  </w:style>
  <w:style w:type="paragraph" w:customStyle="1" w:styleId="339">
    <w:name w:val="002表头"/>
    <w:qFormat/>
    <w:uiPriority w:val="0"/>
    <w:pPr>
      <w:widowControl w:val="0"/>
      <w:snapToGrid w:val="0"/>
      <w:spacing w:line="360" w:lineRule="auto"/>
      <w:jc w:val="center"/>
    </w:pPr>
    <w:rPr>
      <w:rFonts w:ascii="Times New Roman" w:hAnsi="Times New Roman" w:eastAsia="黑体" w:cs="Times New Roman"/>
      <w:b/>
      <w:kern w:val="2"/>
      <w:sz w:val="24"/>
      <w:szCs w:val="24"/>
      <w:lang w:val="en-US" w:eastAsia="zh-CN" w:bidi="ar-SA"/>
    </w:rPr>
  </w:style>
  <w:style w:type="paragraph" w:customStyle="1" w:styleId="340">
    <w:name w:val="NJ正文"/>
    <w:basedOn w:val="1"/>
    <w:qFormat/>
    <w:uiPriority w:val="0"/>
    <w:pPr>
      <w:snapToGrid/>
      <w:ind w:firstLine="480"/>
    </w:pPr>
    <w:rPr>
      <w:szCs w:val="21"/>
    </w:rPr>
  </w:style>
  <w:style w:type="paragraph" w:customStyle="1" w:styleId="341">
    <w:name w:val="WPSOffice手动目录 1"/>
    <w:qFormat/>
    <w:uiPriority w:val="0"/>
    <w:pPr>
      <w:ind w:leftChars="0"/>
    </w:pPr>
    <w:rPr>
      <w:rFonts w:ascii="Times New Roman" w:hAnsi="Times New Roman" w:eastAsia="宋体" w:cs="Times New Roman"/>
      <w:sz w:val="20"/>
      <w:szCs w:val="20"/>
    </w:rPr>
  </w:style>
  <w:style w:type="paragraph" w:customStyle="1" w:styleId="342">
    <w:name w:val="WPSOffice手动目录 2"/>
    <w:qFormat/>
    <w:uiPriority w:val="0"/>
    <w:pPr>
      <w:ind w:leftChars="200"/>
    </w:pPr>
    <w:rPr>
      <w:rFonts w:ascii="Times New Roman" w:hAnsi="Times New Roman" w:eastAsia="宋体" w:cs="Times New Roman"/>
      <w:sz w:val="20"/>
      <w:szCs w:val="20"/>
    </w:rPr>
  </w:style>
  <w:style w:type="paragraph" w:customStyle="1" w:styleId="34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emf"/><Relationship Id="rId21" Type="http://schemas.openxmlformats.org/officeDocument/2006/relationships/oleObject" Target="embeddings/oleObject1.bin"/><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2.xml"/><Relationship Id="rId14" Type="http://schemas.openxmlformats.org/officeDocument/2006/relationships/header" Target="header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105</Pages>
  <Words>19180</Words>
  <Characters>20301</Characters>
  <Lines>757</Lines>
  <Paragraphs>213</Paragraphs>
  <TotalTime>3</TotalTime>
  <ScaleCrop>false</ScaleCrop>
  <LinksUpToDate>false</LinksUpToDate>
  <CharactersWithSpaces>20466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2021-08-09T13:05:00Z</dcterms:created>
  <dc:creator>H</dc:creator>
  <cp:lastModifiedBy>Administrator</cp:lastModifiedBy>
  <cp:lastPrinted>2021-08-03T06:28:00Z</cp:lastPrinted>
  <dcterms:modified xsi:type="dcterms:W3CDTF">2024-11-15T04:19:29Z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C18CD496C40D4E0FAD7EDA3DADCB381C_13</vt:lpwstr>
  </property>
</Properties>
</file>